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D4B9" w14:textId="7EEC1196" w:rsidR="00424D60" w:rsidRPr="00424D60" w:rsidRDefault="00492A1D" w:rsidP="00424D60">
      <w:pPr>
        <w:jc w:val="center"/>
        <w:rPr>
          <w:b/>
          <w:sz w:val="72"/>
          <w:szCs w:val="72"/>
        </w:rPr>
      </w:pPr>
      <w:r w:rsidRPr="00424D60">
        <w:rPr>
          <w:b/>
          <w:sz w:val="72"/>
          <w:szCs w:val="72"/>
        </w:rPr>
        <w:t>WEST YORKSHIRE FIRE AND RESCUE</w:t>
      </w:r>
      <w:r w:rsidR="00424D60" w:rsidRPr="00424D60">
        <w:rPr>
          <w:b/>
          <w:sz w:val="72"/>
          <w:szCs w:val="72"/>
        </w:rPr>
        <w:t xml:space="preserve"> SERVICE</w:t>
      </w:r>
    </w:p>
    <w:p w14:paraId="6238DC72" w14:textId="4972F64F" w:rsidR="00424D60" w:rsidRDefault="00424D60" w:rsidP="00424D60">
      <w:pPr>
        <w:jc w:val="center"/>
        <w:rPr>
          <w:sz w:val="72"/>
          <w:szCs w:val="72"/>
        </w:rPr>
      </w:pPr>
    </w:p>
    <w:p w14:paraId="5A6007F1" w14:textId="77777777" w:rsidR="00424D60" w:rsidRDefault="00424D60" w:rsidP="00424D60">
      <w:pPr>
        <w:jc w:val="center"/>
        <w:rPr>
          <w:sz w:val="72"/>
          <w:szCs w:val="72"/>
        </w:rPr>
      </w:pPr>
    </w:p>
    <w:p w14:paraId="643439AC" w14:textId="77777777" w:rsidR="00424D60" w:rsidRDefault="00424D60" w:rsidP="00424D60">
      <w:pPr>
        <w:jc w:val="center"/>
        <w:rPr>
          <w:sz w:val="72"/>
          <w:szCs w:val="72"/>
        </w:rPr>
      </w:pPr>
    </w:p>
    <w:p w14:paraId="0B3D6EFE" w14:textId="4D4F21F7" w:rsidR="00A50D8C" w:rsidRPr="00424D60" w:rsidRDefault="00492A1D" w:rsidP="00424D60">
      <w:pPr>
        <w:jc w:val="center"/>
        <w:rPr>
          <w:b/>
          <w:sz w:val="72"/>
          <w:szCs w:val="72"/>
        </w:rPr>
      </w:pPr>
      <w:r w:rsidRPr="00424D60">
        <w:rPr>
          <w:b/>
          <w:sz w:val="72"/>
          <w:szCs w:val="72"/>
        </w:rPr>
        <w:t>RESERVES STRATEGY</w:t>
      </w:r>
    </w:p>
    <w:p w14:paraId="4ED7BF38" w14:textId="6CA12B4B" w:rsidR="00492A1D" w:rsidRPr="00424D60" w:rsidRDefault="00432A67" w:rsidP="00424D60">
      <w:pPr>
        <w:jc w:val="center"/>
        <w:rPr>
          <w:b/>
          <w:sz w:val="72"/>
          <w:szCs w:val="72"/>
        </w:rPr>
      </w:pPr>
      <w:r>
        <w:rPr>
          <w:b/>
          <w:sz w:val="72"/>
          <w:szCs w:val="72"/>
        </w:rPr>
        <w:t>20</w:t>
      </w:r>
      <w:r w:rsidR="00D67264">
        <w:rPr>
          <w:b/>
          <w:sz w:val="72"/>
          <w:szCs w:val="72"/>
        </w:rPr>
        <w:t>2</w:t>
      </w:r>
      <w:r w:rsidR="008A0BF3">
        <w:rPr>
          <w:b/>
          <w:sz w:val="72"/>
          <w:szCs w:val="72"/>
        </w:rPr>
        <w:t>3</w:t>
      </w:r>
      <w:r w:rsidR="00467F9D">
        <w:rPr>
          <w:b/>
          <w:sz w:val="72"/>
          <w:szCs w:val="72"/>
        </w:rPr>
        <w:t>/2</w:t>
      </w:r>
      <w:r w:rsidR="008A0BF3">
        <w:rPr>
          <w:b/>
          <w:sz w:val="72"/>
          <w:szCs w:val="72"/>
        </w:rPr>
        <w:t>4</w:t>
      </w:r>
      <w:r w:rsidR="00467F9D">
        <w:rPr>
          <w:b/>
          <w:sz w:val="72"/>
          <w:szCs w:val="72"/>
        </w:rPr>
        <w:t xml:space="preserve"> TO 202</w:t>
      </w:r>
      <w:r w:rsidR="008A0BF3">
        <w:rPr>
          <w:b/>
          <w:sz w:val="72"/>
          <w:szCs w:val="72"/>
        </w:rPr>
        <w:t>7</w:t>
      </w:r>
      <w:r w:rsidR="00467F9D">
        <w:rPr>
          <w:b/>
          <w:sz w:val="72"/>
          <w:szCs w:val="72"/>
        </w:rPr>
        <w:t>/2</w:t>
      </w:r>
      <w:r w:rsidR="008A0BF3">
        <w:rPr>
          <w:b/>
          <w:sz w:val="72"/>
          <w:szCs w:val="72"/>
        </w:rPr>
        <w:t>8</w:t>
      </w:r>
    </w:p>
    <w:p w14:paraId="45CFA2FB" w14:textId="77777777" w:rsidR="00492A1D" w:rsidRDefault="00492A1D"/>
    <w:p w14:paraId="49AC56A4" w14:textId="77777777" w:rsidR="00492A1D" w:rsidRDefault="00492A1D"/>
    <w:p w14:paraId="7384BB26" w14:textId="77777777" w:rsidR="00492A1D" w:rsidRDefault="00492A1D"/>
    <w:p w14:paraId="460C9E62" w14:textId="77777777" w:rsidR="00492A1D" w:rsidRDefault="00492A1D"/>
    <w:p w14:paraId="6D24FFEC" w14:textId="77777777" w:rsidR="00492A1D" w:rsidRDefault="00492A1D"/>
    <w:p w14:paraId="3F7AF745" w14:textId="77777777" w:rsidR="00492A1D" w:rsidRDefault="00492A1D"/>
    <w:p w14:paraId="6B6CF9B1" w14:textId="77777777" w:rsidR="00492A1D" w:rsidRDefault="00492A1D"/>
    <w:p w14:paraId="4EB3DD28" w14:textId="77777777" w:rsidR="00492A1D" w:rsidRDefault="00492A1D"/>
    <w:p w14:paraId="65382A0F" w14:textId="77777777" w:rsidR="00492A1D" w:rsidRDefault="00492A1D"/>
    <w:p w14:paraId="36B27C2F" w14:textId="77777777" w:rsidR="00492A1D" w:rsidRDefault="00492A1D"/>
    <w:p w14:paraId="7852DEC7" w14:textId="77777777" w:rsidR="00492A1D" w:rsidRDefault="00492A1D"/>
    <w:p w14:paraId="1E3971FB" w14:textId="77777777" w:rsidR="00492A1D" w:rsidRDefault="00492A1D"/>
    <w:p w14:paraId="1CD65D10" w14:textId="77777777" w:rsidR="00492A1D" w:rsidRDefault="00492A1D"/>
    <w:p w14:paraId="66BCEF19" w14:textId="77777777" w:rsidR="00492A1D" w:rsidRDefault="00492A1D"/>
    <w:p w14:paraId="06732B95" w14:textId="34C9D4D3" w:rsidR="00492A1D" w:rsidRDefault="004316F7" w:rsidP="009124BB">
      <w:pPr>
        <w:pStyle w:val="Heading1"/>
        <w:numPr>
          <w:ilvl w:val="0"/>
          <w:numId w:val="2"/>
        </w:numPr>
        <w:tabs>
          <w:tab w:val="left" w:pos="567"/>
        </w:tabs>
        <w:ind w:hanging="924"/>
        <w:rPr>
          <w:rFonts w:cs="Arial"/>
          <w:u w:val="single"/>
        </w:rPr>
      </w:pPr>
      <w:r w:rsidRPr="00702695">
        <w:rPr>
          <w:rFonts w:cs="Arial"/>
          <w:u w:val="single"/>
        </w:rPr>
        <w:lastRenderedPageBreak/>
        <w:t>What are Reserves</w:t>
      </w:r>
    </w:p>
    <w:p w14:paraId="5DA7B877" w14:textId="1FEAA86B" w:rsidR="009124BB" w:rsidRPr="009124BB" w:rsidRDefault="009124BB" w:rsidP="009124BB">
      <w:pPr>
        <w:pStyle w:val="ListParagraph"/>
        <w:numPr>
          <w:ilvl w:val="1"/>
          <w:numId w:val="2"/>
        </w:numPr>
        <w:tabs>
          <w:tab w:val="left" w:pos="567"/>
        </w:tabs>
        <w:spacing w:after="240"/>
        <w:ind w:left="567" w:hanging="567"/>
        <w:contextualSpacing w:val="0"/>
        <w:jc w:val="both"/>
        <w:rPr>
          <w:rFonts w:ascii="Arial" w:hAnsi="Arial" w:cs="Arial"/>
          <w:sz w:val="24"/>
          <w:szCs w:val="24"/>
        </w:rPr>
      </w:pPr>
      <w:r w:rsidRPr="009124BB">
        <w:rPr>
          <w:rFonts w:ascii="Arial" w:hAnsi="Arial" w:cs="Arial"/>
          <w:sz w:val="24"/>
          <w:szCs w:val="24"/>
        </w:rPr>
        <w:t xml:space="preserve">Reserves are an essential part of good financial management in that they help the fire authority manage with unpredictable financial pressures and plan for future spending commitments. The level, purpose and planned use of reserves are important factors in developing the </w:t>
      </w:r>
      <w:proofErr w:type="gramStart"/>
      <w:r w:rsidRPr="009124BB">
        <w:rPr>
          <w:rFonts w:ascii="Arial" w:hAnsi="Arial" w:cs="Arial"/>
          <w:sz w:val="24"/>
          <w:szCs w:val="24"/>
        </w:rPr>
        <w:t>Medium Term</w:t>
      </w:r>
      <w:proofErr w:type="gramEnd"/>
      <w:r w:rsidRPr="009124BB">
        <w:rPr>
          <w:rFonts w:ascii="Arial" w:hAnsi="Arial" w:cs="Arial"/>
          <w:sz w:val="24"/>
          <w:szCs w:val="24"/>
        </w:rPr>
        <w:t xml:space="preserve"> Financial Plan and setting the annual budget. In setting the budget the fire authority decides what it will spend and how much income it needs from council tax to supplement government funding. The fire authority may choose to fund some of its spending from its reserves and balances in the short term until long-term savings initiatives are realised.</w:t>
      </w:r>
    </w:p>
    <w:p w14:paraId="005D1530" w14:textId="01982E6E" w:rsidR="00AD62FB" w:rsidRDefault="00AD62FB" w:rsidP="009124BB">
      <w:pPr>
        <w:pStyle w:val="ListParagraph"/>
        <w:numPr>
          <w:ilvl w:val="1"/>
          <w:numId w:val="2"/>
        </w:numPr>
        <w:tabs>
          <w:tab w:val="left" w:pos="567"/>
        </w:tabs>
        <w:ind w:left="567" w:hanging="567"/>
        <w:jc w:val="both"/>
        <w:rPr>
          <w:rFonts w:ascii="Arial" w:hAnsi="Arial" w:cs="Arial"/>
          <w:sz w:val="24"/>
          <w:szCs w:val="24"/>
        </w:rPr>
      </w:pPr>
      <w:r w:rsidRPr="00D67264">
        <w:rPr>
          <w:rFonts w:ascii="Arial" w:hAnsi="Arial" w:cs="Arial"/>
          <w:sz w:val="24"/>
          <w:szCs w:val="24"/>
        </w:rPr>
        <w:t>Having the right level of reserves is important. If reserves are very low, there may be little resilience to financial shocks and sustained financial challenges.</w:t>
      </w:r>
    </w:p>
    <w:p w14:paraId="4639DB8C" w14:textId="77777777" w:rsidR="009124BB" w:rsidRPr="00D67264" w:rsidRDefault="009124BB" w:rsidP="009124BB">
      <w:pPr>
        <w:pStyle w:val="ListParagraph"/>
        <w:tabs>
          <w:tab w:val="left" w:pos="567"/>
        </w:tabs>
        <w:ind w:left="567"/>
        <w:jc w:val="both"/>
        <w:rPr>
          <w:rFonts w:ascii="Arial" w:hAnsi="Arial" w:cs="Arial"/>
          <w:sz w:val="24"/>
          <w:szCs w:val="24"/>
        </w:rPr>
      </w:pPr>
    </w:p>
    <w:p w14:paraId="0B5BA9E8" w14:textId="39EED3B5" w:rsidR="00492A1D" w:rsidRDefault="00492A1D" w:rsidP="009124BB">
      <w:pPr>
        <w:pStyle w:val="ListParagraph"/>
        <w:numPr>
          <w:ilvl w:val="1"/>
          <w:numId w:val="2"/>
        </w:numPr>
        <w:tabs>
          <w:tab w:val="left" w:pos="567"/>
        </w:tabs>
        <w:ind w:left="567" w:hanging="567"/>
        <w:jc w:val="both"/>
        <w:rPr>
          <w:rFonts w:ascii="Arial" w:hAnsi="Arial" w:cs="Arial"/>
          <w:sz w:val="24"/>
          <w:szCs w:val="24"/>
        </w:rPr>
      </w:pPr>
      <w:r w:rsidRPr="00D67264">
        <w:rPr>
          <w:rFonts w:ascii="Arial" w:hAnsi="Arial" w:cs="Arial"/>
          <w:sz w:val="24"/>
          <w:szCs w:val="24"/>
        </w:rPr>
        <w:t>The requirement for a local authority to maintain financial reserves is acknowledged in legislation and thus preventing the authority to over committing financially. These are</w:t>
      </w:r>
      <w:r w:rsidR="009124BB">
        <w:rPr>
          <w:rFonts w:ascii="Arial" w:hAnsi="Arial" w:cs="Arial"/>
          <w:sz w:val="24"/>
          <w:szCs w:val="24"/>
        </w:rPr>
        <w:t>:</w:t>
      </w:r>
    </w:p>
    <w:p w14:paraId="240EEBB4" w14:textId="77777777" w:rsidR="009124BB" w:rsidRPr="009124BB" w:rsidRDefault="009124BB" w:rsidP="009124BB">
      <w:pPr>
        <w:pStyle w:val="ListParagraph"/>
        <w:rPr>
          <w:rFonts w:ascii="Arial" w:hAnsi="Arial" w:cs="Arial"/>
          <w:sz w:val="24"/>
          <w:szCs w:val="24"/>
        </w:rPr>
      </w:pPr>
    </w:p>
    <w:p w14:paraId="5691D44A" w14:textId="06C8A06D" w:rsidR="00492A1D" w:rsidRPr="009124BB" w:rsidRDefault="00492A1D" w:rsidP="009124BB">
      <w:pPr>
        <w:pStyle w:val="ListParagraph"/>
        <w:numPr>
          <w:ilvl w:val="0"/>
          <w:numId w:val="3"/>
        </w:numPr>
        <w:ind w:hanging="513"/>
        <w:jc w:val="both"/>
        <w:rPr>
          <w:rFonts w:ascii="Arial" w:hAnsi="Arial" w:cs="Arial"/>
          <w:sz w:val="24"/>
          <w:szCs w:val="24"/>
        </w:rPr>
      </w:pPr>
      <w:r w:rsidRPr="009124BB">
        <w:rPr>
          <w:rFonts w:ascii="Arial" w:hAnsi="Arial" w:cs="Arial"/>
          <w:sz w:val="24"/>
          <w:szCs w:val="24"/>
        </w:rPr>
        <w:t>The requirement to set a balanced budget as set out within the Local Government Finance Act 1992</w:t>
      </w:r>
      <w:r w:rsidR="004E5C09" w:rsidRPr="009124BB">
        <w:rPr>
          <w:rFonts w:ascii="Arial" w:hAnsi="Arial" w:cs="Arial"/>
          <w:sz w:val="24"/>
          <w:szCs w:val="24"/>
        </w:rPr>
        <w:t>.</w:t>
      </w:r>
    </w:p>
    <w:p w14:paraId="3389FEC3" w14:textId="77777777" w:rsidR="00492A1D" w:rsidRPr="00D67264" w:rsidRDefault="00492A1D" w:rsidP="009124BB">
      <w:pPr>
        <w:pStyle w:val="ListParagraph"/>
        <w:numPr>
          <w:ilvl w:val="0"/>
          <w:numId w:val="3"/>
        </w:numPr>
        <w:ind w:hanging="513"/>
        <w:jc w:val="both"/>
        <w:rPr>
          <w:rFonts w:ascii="Arial" w:hAnsi="Arial" w:cs="Arial"/>
          <w:sz w:val="24"/>
          <w:szCs w:val="24"/>
        </w:rPr>
      </w:pPr>
      <w:r w:rsidRPr="00D67264">
        <w:rPr>
          <w:rFonts w:ascii="Arial" w:hAnsi="Arial" w:cs="Arial"/>
          <w:sz w:val="24"/>
          <w:szCs w:val="24"/>
        </w:rPr>
        <w:t xml:space="preserve">The requirement of the authority to </w:t>
      </w:r>
      <w:proofErr w:type="gramStart"/>
      <w:r w:rsidRPr="00D67264">
        <w:rPr>
          <w:rFonts w:ascii="Arial" w:hAnsi="Arial" w:cs="Arial"/>
          <w:sz w:val="24"/>
          <w:szCs w:val="24"/>
        </w:rPr>
        <w:t>make arrangements</w:t>
      </w:r>
      <w:proofErr w:type="gramEnd"/>
      <w:r w:rsidRPr="00D67264">
        <w:rPr>
          <w:rFonts w:ascii="Arial" w:hAnsi="Arial" w:cs="Arial"/>
          <w:sz w:val="24"/>
          <w:szCs w:val="24"/>
        </w:rPr>
        <w:t xml:space="preserve"> for the proper administration of their financial affairs and the appointment of a Chief Finance Officer (section 151 officer) to take responsibility for the administration of those affairs.</w:t>
      </w:r>
    </w:p>
    <w:p w14:paraId="4FFF5D8C" w14:textId="2BE96AD5" w:rsidR="00492A1D" w:rsidRPr="00D67264" w:rsidRDefault="00492A1D" w:rsidP="009124BB">
      <w:pPr>
        <w:pStyle w:val="ListParagraph"/>
        <w:numPr>
          <w:ilvl w:val="0"/>
          <w:numId w:val="3"/>
        </w:numPr>
        <w:ind w:hanging="513"/>
        <w:jc w:val="both"/>
        <w:rPr>
          <w:rFonts w:ascii="Arial" w:hAnsi="Arial" w:cs="Arial"/>
          <w:sz w:val="24"/>
          <w:szCs w:val="24"/>
        </w:rPr>
      </w:pPr>
      <w:r w:rsidRPr="00D67264">
        <w:rPr>
          <w:rFonts w:ascii="Arial" w:hAnsi="Arial" w:cs="Arial"/>
          <w:sz w:val="24"/>
          <w:szCs w:val="24"/>
        </w:rPr>
        <w:t xml:space="preserve">In accordance with the Local Government Finance Act 1988 </w:t>
      </w:r>
      <w:r w:rsidR="00D328FE" w:rsidRPr="00D67264">
        <w:rPr>
          <w:rFonts w:ascii="Arial" w:hAnsi="Arial" w:cs="Arial"/>
          <w:sz w:val="24"/>
          <w:szCs w:val="24"/>
        </w:rPr>
        <w:t>(S</w:t>
      </w:r>
      <w:r w:rsidRPr="00D67264">
        <w:rPr>
          <w:rFonts w:ascii="Arial" w:hAnsi="Arial" w:cs="Arial"/>
          <w:sz w:val="24"/>
          <w:szCs w:val="24"/>
        </w:rPr>
        <w:t>ection 114</w:t>
      </w:r>
      <w:r w:rsidR="00D328FE" w:rsidRPr="00D67264">
        <w:rPr>
          <w:rFonts w:ascii="Arial" w:hAnsi="Arial" w:cs="Arial"/>
          <w:sz w:val="24"/>
          <w:szCs w:val="24"/>
        </w:rPr>
        <w:t>)</w:t>
      </w:r>
      <w:r w:rsidRPr="00D67264">
        <w:rPr>
          <w:rFonts w:ascii="Arial" w:hAnsi="Arial" w:cs="Arial"/>
          <w:sz w:val="24"/>
          <w:szCs w:val="24"/>
        </w:rPr>
        <w:t>, the Chief Finance Officer must report if there is or is likely to be unlawful expenditure or an unbalanced budget.</w:t>
      </w:r>
    </w:p>
    <w:p w14:paraId="34B43589" w14:textId="21B8DECC" w:rsidR="00D328FE" w:rsidRPr="00D67264" w:rsidRDefault="00D328FE" w:rsidP="009124BB">
      <w:pPr>
        <w:pStyle w:val="ListParagraph"/>
        <w:numPr>
          <w:ilvl w:val="0"/>
          <w:numId w:val="3"/>
        </w:numPr>
        <w:ind w:hanging="513"/>
        <w:jc w:val="both"/>
        <w:rPr>
          <w:rFonts w:ascii="Arial" w:hAnsi="Arial" w:cs="Arial"/>
          <w:sz w:val="24"/>
          <w:szCs w:val="24"/>
        </w:rPr>
      </w:pPr>
      <w:proofErr w:type="gramStart"/>
      <w:r w:rsidRPr="00D67264">
        <w:rPr>
          <w:rFonts w:ascii="Arial" w:hAnsi="Arial" w:cs="Arial"/>
          <w:sz w:val="24"/>
          <w:szCs w:val="24"/>
        </w:rPr>
        <w:t>The Local Government Act 2003,</w:t>
      </w:r>
      <w:proofErr w:type="gramEnd"/>
      <w:r w:rsidRPr="00D67264">
        <w:rPr>
          <w:rFonts w:ascii="Arial" w:hAnsi="Arial" w:cs="Arial"/>
          <w:sz w:val="24"/>
          <w:szCs w:val="24"/>
        </w:rPr>
        <w:t xml:space="preserve"> places a duty on the Chief Finance Officer to give positive assurance as part of the budget setting process of the adequac</w:t>
      </w:r>
      <w:r w:rsidR="006228E2" w:rsidRPr="00D67264">
        <w:rPr>
          <w:rFonts w:ascii="Arial" w:hAnsi="Arial" w:cs="Arial"/>
          <w:sz w:val="24"/>
          <w:szCs w:val="24"/>
        </w:rPr>
        <w:t>y of balances.</w:t>
      </w:r>
    </w:p>
    <w:p w14:paraId="12B4B47B" w14:textId="04BEAD54" w:rsidR="00492A1D" w:rsidRPr="00D67264" w:rsidRDefault="00492A1D" w:rsidP="009124BB">
      <w:pPr>
        <w:pStyle w:val="ListParagraph"/>
        <w:numPr>
          <w:ilvl w:val="0"/>
          <w:numId w:val="3"/>
        </w:numPr>
        <w:ind w:hanging="513"/>
        <w:jc w:val="both"/>
        <w:rPr>
          <w:rFonts w:ascii="Arial" w:hAnsi="Arial" w:cs="Arial"/>
          <w:sz w:val="24"/>
          <w:szCs w:val="24"/>
        </w:rPr>
      </w:pPr>
      <w:r w:rsidRPr="00D67264">
        <w:rPr>
          <w:rFonts w:ascii="Arial" w:hAnsi="Arial" w:cs="Arial"/>
          <w:sz w:val="24"/>
          <w:szCs w:val="24"/>
        </w:rPr>
        <w:t xml:space="preserve">The Local Government Finance Act 1992 requires </w:t>
      </w:r>
      <w:r w:rsidR="006228E2" w:rsidRPr="00D67264">
        <w:rPr>
          <w:rFonts w:ascii="Arial" w:hAnsi="Arial" w:cs="Arial"/>
          <w:sz w:val="24"/>
          <w:szCs w:val="24"/>
        </w:rPr>
        <w:t>fire authorities as a precept</w:t>
      </w:r>
      <w:r w:rsidRPr="00D67264">
        <w:rPr>
          <w:rFonts w:ascii="Arial" w:hAnsi="Arial" w:cs="Arial"/>
          <w:sz w:val="24"/>
          <w:szCs w:val="24"/>
        </w:rPr>
        <w:t xml:space="preserve"> authority to have regard to the level of reserves needed for meeting estimated future expenditure when calculating the budget requirement.</w:t>
      </w:r>
    </w:p>
    <w:p w14:paraId="0A0F64D9" w14:textId="50EA47E2" w:rsidR="00AD62FB" w:rsidRDefault="00AD62FB" w:rsidP="009124BB">
      <w:pPr>
        <w:pStyle w:val="ListParagraph"/>
        <w:numPr>
          <w:ilvl w:val="0"/>
          <w:numId w:val="3"/>
        </w:numPr>
        <w:ind w:hanging="513"/>
        <w:jc w:val="both"/>
        <w:rPr>
          <w:rFonts w:ascii="Arial" w:hAnsi="Arial" w:cs="Arial"/>
          <w:sz w:val="24"/>
          <w:szCs w:val="24"/>
        </w:rPr>
      </w:pPr>
      <w:r w:rsidRPr="00D67264">
        <w:rPr>
          <w:rFonts w:ascii="Arial" w:hAnsi="Arial" w:cs="Arial"/>
          <w:sz w:val="24"/>
          <w:szCs w:val="24"/>
        </w:rPr>
        <w:t>The external auditors’ responsibility to review and report on the authority’s financial standing as per the annual external audit report.</w:t>
      </w:r>
    </w:p>
    <w:p w14:paraId="46D486FD" w14:textId="77777777" w:rsidR="009124BB" w:rsidRPr="00D67264" w:rsidRDefault="009124BB" w:rsidP="009124BB">
      <w:pPr>
        <w:pStyle w:val="ListParagraph"/>
        <w:ind w:left="1080"/>
        <w:jc w:val="both"/>
        <w:rPr>
          <w:rFonts w:ascii="Arial" w:hAnsi="Arial" w:cs="Arial"/>
          <w:sz w:val="24"/>
          <w:szCs w:val="24"/>
        </w:rPr>
      </w:pPr>
    </w:p>
    <w:p w14:paraId="39A55FD4" w14:textId="15A24C06" w:rsidR="00227886" w:rsidRDefault="00227886" w:rsidP="009124BB">
      <w:pPr>
        <w:pStyle w:val="ListParagraph"/>
        <w:numPr>
          <w:ilvl w:val="1"/>
          <w:numId w:val="2"/>
        </w:numPr>
        <w:tabs>
          <w:tab w:val="left" w:pos="567"/>
        </w:tabs>
        <w:ind w:left="567" w:hanging="567"/>
        <w:jc w:val="both"/>
        <w:rPr>
          <w:rFonts w:ascii="Arial" w:hAnsi="Arial" w:cs="Arial"/>
          <w:sz w:val="24"/>
          <w:szCs w:val="24"/>
        </w:rPr>
      </w:pPr>
      <w:r w:rsidRPr="00D67264">
        <w:rPr>
          <w:rFonts w:ascii="Arial" w:hAnsi="Arial" w:cs="Arial"/>
          <w:sz w:val="24"/>
          <w:szCs w:val="24"/>
        </w:rPr>
        <w:t>The Chartered Institute of Public Finance and Accountancy (CIPFA) published LAAP Bulletin 99</w:t>
      </w:r>
      <w:r w:rsidR="00665595" w:rsidRPr="00D67264">
        <w:rPr>
          <w:rFonts w:ascii="Arial" w:hAnsi="Arial" w:cs="Arial"/>
          <w:sz w:val="24"/>
          <w:szCs w:val="24"/>
        </w:rPr>
        <w:t xml:space="preserve"> in July 2014 which</w:t>
      </w:r>
      <w:r w:rsidRPr="00D67264">
        <w:rPr>
          <w:rFonts w:ascii="Arial" w:hAnsi="Arial" w:cs="Arial"/>
          <w:sz w:val="24"/>
          <w:szCs w:val="24"/>
        </w:rPr>
        <w:t xml:space="preserve"> provides guidance on the management of reserves which has been adopted by the authority.</w:t>
      </w:r>
      <w:r w:rsidR="003F63AA">
        <w:rPr>
          <w:rFonts w:ascii="Arial" w:hAnsi="Arial" w:cs="Arial"/>
          <w:sz w:val="24"/>
          <w:szCs w:val="24"/>
        </w:rPr>
        <w:t xml:space="preserve"> CIPFA bulletin 13 was issued in March 2023 which gives further guidance on local authority reserves.</w:t>
      </w:r>
    </w:p>
    <w:p w14:paraId="52B9BBD5" w14:textId="4611628E" w:rsidR="007C03C5" w:rsidRPr="009124BB" w:rsidRDefault="00665595" w:rsidP="009124BB">
      <w:pPr>
        <w:pStyle w:val="Heading1"/>
        <w:numPr>
          <w:ilvl w:val="0"/>
          <w:numId w:val="2"/>
        </w:numPr>
        <w:tabs>
          <w:tab w:val="left" w:pos="567"/>
        </w:tabs>
        <w:ind w:hanging="924"/>
        <w:rPr>
          <w:rFonts w:cs="Arial"/>
          <w:u w:val="single"/>
        </w:rPr>
      </w:pPr>
      <w:r w:rsidRPr="009124BB">
        <w:rPr>
          <w:rFonts w:cs="Arial"/>
          <w:u w:val="single"/>
        </w:rPr>
        <w:t>National Framework</w:t>
      </w:r>
    </w:p>
    <w:p w14:paraId="1AA24B88" w14:textId="4FD0C841" w:rsidR="007C03C5" w:rsidRDefault="007C03C5" w:rsidP="009124BB">
      <w:pPr>
        <w:pStyle w:val="ListParagraph"/>
        <w:numPr>
          <w:ilvl w:val="1"/>
          <w:numId w:val="2"/>
        </w:numPr>
        <w:tabs>
          <w:tab w:val="left" w:pos="567"/>
        </w:tabs>
        <w:ind w:left="567" w:hanging="567"/>
        <w:jc w:val="both"/>
        <w:rPr>
          <w:rFonts w:ascii="Arial" w:hAnsi="Arial" w:cs="Arial"/>
          <w:sz w:val="24"/>
          <w:szCs w:val="24"/>
        </w:rPr>
      </w:pPr>
      <w:r w:rsidRPr="009124BB">
        <w:rPr>
          <w:rFonts w:ascii="Arial" w:hAnsi="Arial" w:cs="Arial"/>
          <w:sz w:val="24"/>
          <w:szCs w:val="24"/>
        </w:rPr>
        <w:t xml:space="preserve">The National Framework which </w:t>
      </w:r>
      <w:r w:rsidR="00097703" w:rsidRPr="009124BB">
        <w:rPr>
          <w:rFonts w:ascii="Arial" w:hAnsi="Arial" w:cs="Arial"/>
          <w:sz w:val="24"/>
          <w:szCs w:val="24"/>
        </w:rPr>
        <w:t>was published</w:t>
      </w:r>
      <w:r w:rsidRPr="009124BB">
        <w:rPr>
          <w:rFonts w:ascii="Arial" w:hAnsi="Arial" w:cs="Arial"/>
          <w:sz w:val="24"/>
          <w:szCs w:val="24"/>
        </w:rPr>
        <w:t xml:space="preserve"> in May 2018 includes a section on reserves, the main components of which are:</w:t>
      </w:r>
    </w:p>
    <w:p w14:paraId="179F588E" w14:textId="77777777" w:rsidR="009124BB" w:rsidRPr="009124BB" w:rsidRDefault="009124BB" w:rsidP="009124BB">
      <w:pPr>
        <w:pStyle w:val="ListParagraph"/>
        <w:tabs>
          <w:tab w:val="left" w:pos="567"/>
        </w:tabs>
        <w:ind w:left="567"/>
        <w:jc w:val="both"/>
        <w:rPr>
          <w:rFonts w:ascii="Arial" w:hAnsi="Arial" w:cs="Arial"/>
          <w:sz w:val="24"/>
          <w:szCs w:val="24"/>
        </w:rPr>
      </w:pPr>
    </w:p>
    <w:p w14:paraId="2C0664E6" w14:textId="505D7EEC" w:rsidR="007C03C5" w:rsidRPr="00D67264" w:rsidRDefault="007C03C5" w:rsidP="009124BB">
      <w:pPr>
        <w:pStyle w:val="ListParagraph"/>
        <w:numPr>
          <w:ilvl w:val="0"/>
          <w:numId w:val="3"/>
        </w:numPr>
        <w:ind w:hanging="513"/>
        <w:jc w:val="both"/>
        <w:rPr>
          <w:rFonts w:ascii="Arial" w:hAnsi="Arial" w:cs="Arial"/>
          <w:sz w:val="24"/>
          <w:szCs w:val="24"/>
        </w:rPr>
      </w:pPr>
      <w:r w:rsidRPr="00D67264">
        <w:rPr>
          <w:rFonts w:ascii="Arial" w:hAnsi="Arial" w:cs="Arial"/>
          <w:sz w:val="24"/>
          <w:szCs w:val="24"/>
        </w:rPr>
        <w:lastRenderedPageBreak/>
        <w:t>General reserves should be held by the fire and rescue authority and managed to balance funding and spending priorities and to manage risks</w:t>
      </w:r>
      <w:r w:rsidR="00097703" w:rsidRPr="00D67264">
        <w:rPr>
          <w:rFonts w:ascii="Arial" w:hAnsi="Arial" w:cs="Arial"/>
          <w:sz w:val="24"/>
          <w:szCs w:val="24"/>
        </w:rPr>
        <w:t>.</w:t>
      </w:r>
      <w:r w:rsidR="00BA3BEE" w:rsidRPr="00D67264">
        <w:rPr>
          <w:rFonts w:ascii="Arial" w:hAnsi="Arial" w:cs="Arial"/>
          <w:sz w:val="24"/>
          <w:szCs w:val="24"/>
        </w:rPr>
        <w:t xml:space="preserve"> These should be established as part of the </w:t>
      </w:r>
      <w:proofErr w:type="gramStart"/>
      <w:r w:rsidR="00BA3BEE" w:rsidRPr="00D67264">
        <w:rPr>
          <w:rFonts w:ascii="Arial" w:hAnsi="Arial" w:cs="Arial"/>
          <w:sz w:val="24"/>
          <w:szCs w:val="24"/>
        </w:rPr>
        <w:t>medium term</w:t>
      </w:r>
      <w:proofErr w:type="gramEnd"/>
      <w:r w:rsidR="00BA3BEE" w:rsidRPr="00D67264">
        <w:rPr>
          <w:rFonts w:ascii="Arial" w:hAnsi="Arial" w:cs="Arial"/>
          <w:sz w:val="24"/>
          <w:szCs w:val="24"/>
        </w:rPr>
        <w:t xml:space="preserve"> financial planning process.</w:t>
      </w:r>
    </w:p>
    <w:p w14:paraId="2DDAFF13" w14:textId="102FE4B0" w:rsidR="00BA3BEE" w:rsidRPr="00D67264" w:rsidRDefault="00BA3BEE" w:rsidP="009124BB">
      <w:pPr>
        <w:pStyle w:val="ListParagraph"/>
        <w:numPr>
          <w:ilvl w:val="0"/>
          <w:numId w:val="3"/>
        </w:numPr>
        <w:ind w:hanging="513"/>
        <w:jc w:val="both"/>
        <w:rPr>
          <w:rFonts w:ascii="Arial" w:hAnsi="Arial" w:cs="Arial"/>
          <w:sz w:val="24"/>
          <w:szCs w:val="24"/>
        </w:rPr>
      </w:pPr>
      <w:r w:rsidRPr="00D67264">
        <w:rPr>
          <w:rFonts w:ascii="Arial" w:hAnsi="Arial" w:cs="Arial"/>
          <w:sz w:val="24"/>
          <w:szCs w:val="24"/>
        </w:rPr>
        <w:t>Each fire and rescue authority should publish their reserves strategy on their website. The strategy should include details of current and future planned reserve levels, setting out a total amount of reserves and the amount of each specific reserve that is held for each year. The reserves strategy should provide information for at least two years ahead.</w:t>
      </w:r>
    </w:p>
    <w:p w14:paraId="1864F1E8" w14:textId="4BA63246" w:rsidR="00BA3BEE" w:rsidRPr="00D67264" w:rsidRDefault="00BA3BEE" w:rsidP="009124BB">
      <w:pPr>
        <w:pStyle w:val="ListParagraph"/>
        <w:numPr>
          <w:ilvl w:val="0"/>
          <w:numId w:val="3"/>
        </w:numPr>
        <w:ind w:hanging="513"/>
        <w:jc w:val="both"/>
        <w:rPr>
          <w:rFonts w:ascii="Arial" w:hAnsi="Arial" w:cs="Arial"/>
          <w:sz w:val="24"/>
          <w:szCs w:val="24"/>
        </w:rPr>
      </w:pPr>
      <w:r w:rsidRPr="00D67264">
        <w:rPr>
          <w:rFonts w:ascii="Arial" w:hAnsi="Arial" w:cs="Arial"/>
          <w:sz w:val="24"/>
          <w:szCs w:val="24"/>
        </w:rPr>
        <w:t>Sufficient information should be provided to enable understanding of the purpose for which each reserve is held and how holding each reserve supports the fire and rescue authority’s medium term financial plan.</w:t>
      </w:r>
    </w:p>
    <w:p w14:paraId="7A287942" w14:textId="57E18FDE" w:rsidR="00BA3BEE" w:rsidRDefault="00BA3BEE" w:rsidP="009124BB">
      <w:pPr>
        <w:pStyle w:val="ListParagraph"/>
        <w:numPr>
          <w:ilvl w:val="0"/>
          <w:numId w:val="3"/>
        </w:numPr>
        <w:ind w:hanging="513"/>
        <w:jc w:val="both"/>
        <w:rPr>
          <w:rFonts w:ascii="Arial" w:hAnsi="Arial" w:cs="Arial"/>
          <w:sz w:val="24"/>
          <w:szCs w:val="24"/>
        </w:rPr>
      </w:pPr>
      <w:r w:rsidRPr="00D67264">
        <w:rPr>
          <w:rFonts w:ascii="Arial" w:hAnsi="Arial" w:cs="Arial"/>
          <w:sz w:val="24"/>
          <w:szCs w:val="24"/>
        </w:rPr>
        <w:t>Information should be set out in a way that is clear and understandable for members of the public and should include:</w:t>
      </w:r>
    </w:p>
    <w:p w14:paraId="03590F9E" w14:textId="77777777" w:rsidR="009124BB" w:rsidRPr="00D67264" w:rsidRDefault="009124BB" w:rsidP="009124BB">
      <w:pPr>
        <w:pStyle w:val="ListParagraph"/>
        <w:ind w:left="1080"/>
        <w:jc w:val="both"/>
        <w:rPr>
          <w:rFonts w:ascii="Arial" w:hAnsi="Arial" w:cs="Arial"/>
          <w:sz w:val="24"/>
          <w:szCs w:val="24"/>
        </w:rPr>
      </w:pPr>
    </w:p>
    <w:p w14:paraId="3E82D1B5" w14:textId="3C685A85" w:rsidR="00BA3BEE" w:rsidRPr="00D67264" w:rsidRDefault="00BA3BEE" w:rsidP="009124BB">
      <w:pPr>
        <w:pStyle w:val="ListParagraph"/>
        <w:numPr>
          <w:ilvl w:val="1"/>
          <w:numId w:val="1"/>
        </w:numPr>
        <w:ind w:left="1701" w:hanging="567"/>
        <w:jc w:val="both"/>
        <w:rPr>
          <w:rFonts w:ascii="Arial" w:hAnsi="Arial" w:cs="Arial"/>
          <w:sz w:val="24"/>
          <w:szCs w:val="24"/>
        </w:rPr>
      </w:pPr>
      <w:r w:rsidRPr="00D67264">
        <w:rPr>
          <w:rFonts w:ascii="Arial" w:hAnsi="Arial" w:cs="Arial"/>
          <w:sz w:val="24"/>
          <w:szCs w:val="24"/>
        </w:rPr>
        <w:t xml:space="preserve">How </w:t>
      </w:r>
      <w:r w:rsidR="00227886" w:rsidRPr="00D67264">
        <w:rPr>
          <w:rFonts w:ascii="Arial" w:hAnsi="Arial" w:cs="Arial"/>
          <w:sz w:val="24"/>
          <w:szCs w:val="24"/>
        </w:rPr>
        <w:t xml:space="preserve">the level of general reserve </w:t>
      </w:r>
      <w:r w:rsidR="00665595" w:rsidRPr="00D67264">
        <w:rPr>
          <w:rFonts w:ascii="Arial" w:hAnsi="Arial" w:cs="Arial"/>
          <w:sz w:val="24"/>
          <w:szCs w:val="24"/>
        </w:rPr>
        <w:t>has</w:t>
      </w:r>
      <w:r w:rsidRPr="00D67264">
        <w:rPr>
          <w:rFonts w:ascii="Arial" w:hAnsi="Arial" w:cs="Arial"/>
          <w:sz w:val="24"/>
          <w:szCs w:val="24"/>
        </w:rPr>
        <w:t xml:space="preserve"> been set</w:t>
      </w:r>
      <w:r w:rsidR="00D328FE" w:rsidRPr="00D67264">
        <w:rPr>
          <w:rFonts w:ascii="Arial" w:hAnsi="Arial" w:cs="Arial"/>
          <w:sz w:val="24"/>
          <w:szCs w:val="24"/>
        </w:rPr>
        <w:t>.</w:t>
      </w:r>
    </w:p>
    <w:p w14:paraId="7F3D3A6C" w14:textId="2BFB736C" w:rsidR="00BA3BEE" w:rsidRPr="00D67264" w:rsidRDefault="00BA3BEE" w:rsidP="009124BB">
      <w:pPr>
        <w:pStyle w:val="ListParagraph"/>
        <w:numPr>
          <w:ilvl w:val="1"/>
          <w:numId w:val="1"/>
        </w:numPr>
        <w:ind w:left="1701" w:hanging="567"/>
        <w:jc w:val="both"/>
        <w:rPr>
          <w:rFonts w:ascii="Arial" w:hAnsi="Arial" w:cs="Arial"/>
          <w:sz w:val="24"/>
          <w:szCs w:val="24"/>
        </w:rPr>
      </w:pPr>
      <w:r w:rsidRPr="00D67264">
        <w:rPr>
          <w:rFonts w:ascii="Arial" w:hAnsi="Arial" w:cs="Arial"/>
          <w:sz w:val="24"/>
          <w:szCs w:val="24"/>
        </w:rPr>
        <w:t>Justification for holding a general reserve larger than five percent of budget</w:t>
      </w:r>
    </w:p>
    <w:p w14:paraId="6887BC37" w14:textId="598D38AE" w:rsidR="00BA3BEE" w:rsidRPr="00D67264" w:rsidRDefault="00BA3BEE" w:rsidP="009124BB">
      <w:pPr>
        <w:pStyle w:val="ListParagraph"/>
        <w:numPr>
          <w:ilvl w:val="1"/>
          <w:numId w:val="1"/>
        </w:numPr>
        <w:ind w:left="1701" w:hanging="567"/>
        <w:jc w:val="both"/>
        <w:rPr>
          <w:rFonts w:ascii="Arial" w:hAnsi="Arial" w:cs="Arial"/>
          <w:sz w:val="24"/>
          <w:szCs w:val="24"/>
        </w:rPr>
      </w:pPr>
      <w:r w:rsidRPr="00D67264">
        <w:rPr>
          <w:rFonts w:ascii="Arial" w:hAnsi="Arial" w:cs="Arial"/>
          <w:sz w:val="24"/>
          <w:szCs w:val="24"/>
        </w:rPr>
        <w:t>Whether the funds in each earmarked reserve are legally or contractually committed, and if so, what amount is committed and,</w:t>
      </w:r>
    </w:p>
    <w:p w14:paraId="19C45589" w14:textId="57CC7143" w:rsidR="00BA3BEE" w:rsidRPr="00D67264" w:rsidRDefault="00BA3BEE" w:rsidP="009124BB">
      <w:pPr>
        <w:pStyle w:val="ListParagraph"/>
        <w:numPr>
          <w:ilvl w:val="1"/>
          <w:numId w:val="1"/>
        </w:numPr>
        <w:ind w:left="1701" w:hanging="567"/>
        <w:jc w:val="both"/>
        <w:rPr>
          <w:rFonts w:ascii="Arial" w:hAnsi="Arial" w:cs="Arial"/>
          <w:sz w:val="24"/>
          <w:szCs w:val="24"/>
        </w:rPr>
      </w:pPr>
      <w:r w:rsidRPr="00D67264">
        <w:rPr>
          <w:rFonts w:ascii="Arial" w:hAnsi="Arial" w:cs="Arial"/>
          <w:sz w:val="24"/>
          <w:szCs w:val="24"/>
        </w:rPr>
        <w:t>A summary of what activities or items will be funded by each earmarked reserve and how these support the fire and rescue authority’s strategy to deliver good quality services to the public.</w:t>
      </w:r>
    </w:p>
    <w:p w14:paraId="1E6EA010" w14:textId="079A7510" w:rsidR="00BA3BEE" w:rsidRPr="009124BB" w:rsidRDefault="00B2597B" w:rsidP="009124BB">
      <w:pPr>
        <w:pStyle w:val="Heading1"/>
        <w:numPr>
          <w:ilvl w:val="0"/>
          <w:numId w:val="2"/>
        </w:numPr>
        <w:tabs>
          <w:tab w:val="left" w:pos="567"/>
        </w:tabs>
        <w:ind w:hanging="924"/>
        <w:rPr>
          <w:rFonts w:cs="Arial"/>
          <w:b w:val="0"/>
          <w:u w:val="single"/>
        </w:rPr>
      </w:pPr>
      <w:r w:rsidRPr="009124BB">
        <w:rPr>
          <w:rFonts w:cs="Arial"/>
          <w:u w:val="single"/>
        </w:rPr>
        <w:t>Determining the Level of Reserves</w:t>
      </w:r>
    </w:p>
    <w:p w14:paraId="16DCF336" w14:textId="310BACB4" w:rsidR="00394201" w:rsidRDefault="00394201" w:rsidP="009124BB">
      <w:pPr>
        <w:pStyle w:val="ListParagraph"/>
        <w:numPr>
          <w:ilvl w:val="1"/>
          <w:numId w:val="2"/>
        </w:numPr>
        <w:tabs>
          <w:tab w:val="left" w:pos="567"/>
        </w:tabs>
        <w:ind w:left="567" w:hanging="567"/>
        <w:jc w:val="both"/>
        <w:rPr>
          <w:rFonts w:ascii="Arial" w:hAnsi="Arial" w:cs="Arial"/>
          <w:sz w:val="24"/>
          <w:szCs w:val="24"/>
        </w:rPr>
      </w:pPr>
      <w:r w:rsidRPr="00D67264">
        <w:rPr>
          <w:rFonts w:ascii="Arial" w:hAnsi="Arial" w:cs="Arial"/>
          <w:sz w:val="24"/>
          <w:szCs w:val="24"/>
        </w:rPr>
        <w:t xml:space="preserve">Reserves are an essential tool to ensure long-term budget stability particularly at a time when the Authority is facing significant year on year reductions in grant funding over the medium term. </w:t>
      </w:r>
    </w:p>
    <w:p w14:paraId="27ED4E2F" w14:textId="77777777" w:rsidR="009124BB" w:rsidRPr="00D67264" w:rsidRDefault="009124BB" w:rsidP="009124BB">
      <w:pPr>
        <w:pStyle w:val="ListParagraph"/>
        <w:tabs>
          <w:tab w:val="left" w:pos="567"/>
        </w:tabs>
        <w:ind w:left="567"/>
        <w:jc w:val="both"/>
        <w:rPr>
          <w:rFonts w:ascii="Arial" w:hAnsi="Arial" w:cs="Arial"/>
          <w:sz w:val="24"/>
          <w:szCs w:val="24"/>
        </w:rPr>
      </w:pPr>
    </w:p>
    <w:p w14:paraId="5D1D83B3" w14:textId="55DD1DEA" w:rsidR="00394201" w:rsidRDefault="00394201" w:rsidP="009124BB">
      <w:pPr>
        <w:pStyle w:val="ListParagraph"/>
        <w:numPr>
          <w:ilvl w:val="1"/>
          <w:numId w:val="2"/>
        </w:numPr>
        <w:tabs>
          <w:tab w:val="left" w:pos="567"/>
        </w:tabs>
        <w:ind w:left="567" w:hanging="567"/>
        <w:jc w:val="both"/>
        <w:rPr>
          <w:rFonts w:ascii="Arial" w:hAnsi="Arial" w:cs="Arial"/>
          <w:sz w:val="24"/>
          <w:szCs w:val="24"/>
        </w:rPr>
      </w:pPr>
      <w:r w:rsidRPr="00D67264">
        <w:rPr>
          <w:rFonts w:ascii="Arial" w:hAnsi="Arial" w:cs="Arial"/>
          <w:sz w:val="24"/>
          <w:szCs w:val="24"/>
        </w:rPr>
        <w:t>Reserve balances have been identified as a key indicator of financial health and the Authority continues to have an appropriate level of reserves</w:t>
      </w:r>
      <w:r w:rsidR="00C7690C" w:rsidRPr="00D67264">
        <w:rPr>
          <w:rFonts w:ascii="Arial" w:hAnsi="Arial" w:cs="Arial"/>
          <w:sz w:val="24"/>
          <w:szCs w:val="24"/>
        </w:rPr>
        <w:t xml:space="preserve"> to deal with identified risks. As a minimum there, there are sufficient balances to support the budget requirements and provide adequate contingency for budget risks.</w:t>
      </w:r>
    </w:p>
    <w:p w14:paraId="672A7CE9" w14:textId="77777777" w:rsidR="009124BB" w:rsidRPr="009124BB" w:rsidRDefault="009124BB" w:rsidP="009124BB">
      <w:pPr>
        <w:pStyle w:val="ListParagraph"/>
        <w:rPr>
          <w:rFonts w:ascii="Arial" w:hAnsi="Arial" w:cs="Arial"/>
          <w:sz w:val="24"/>
          <w:szCs w:val="24"/>
        </w:rPr>
      </w:pPr>
    </w:p>
    <w:p w14:paraId="4B89A993" w14:textId="4ABA93F0" w:rsidR="00306EAF" w:rsidRDefault="00306EAF" w:rsidP="009124BB">
      <w:pPr>
        <w:pStyle w:val="ListParagraph"/>
        <w:numPr>
          <w:ilvl w:val="1"/>
          <w:numId w:val="2"/>
        </w:numPr>
        <w:tabs>
          <w:tab w:val="left" w:pos="567"/>
        </w:tabs>
        <w:ind w:left="567" w:hanging="567"/>
        <w:jc w:val="both"/>
        <w:rPr>
          <w:rFonts w:ascii="Arial" w:hAnsi="Arial" w:cs="Arial"/>
          <w:sz w:val="24"/>
          <w:szCs w:val="24"/>
        </w:rPr>
      </w:pPr>
      <w:r w:rsidRPr="00D67264">
        <w:rPr>
          <w:rFonts w:ascii="Arial" w:hAnsi="Arial" w:cs="Arial"/>
          <w:sz w:val="24"/>
          <w:szCs w:val="24"/>
        </w:rPr>
        <w:t>In accordance with the authority’s financial regulations, the authority hold</w:t>
      </w:r>
      <w:r w:rsidR="00D328FE" w:rsidRPr="00D67264">
        <w:rPr>
          <w:rFonts w:ascii="Arial" w:hAnsi="Arial" w:cs="Arial"/>
          <w:sz w:val="24"/>
          <w:szCs w:val="24"/>
        </w:rPr>
        <w:t>s</w:t>
      </w:r>
      <w:r w:rsidRPr="00D67264">
        <w:rPr>
          <w:rFonts w:ascii="Arial" w:hAnsi="Arial" w:cs="Arial"/>
          <w:sz w:val="24"/>
          <w:szCs w:val="24"/>
        </w:rPr>
        <w:t xml:space="preserve"> reserves which fall into two distinct categories</w:t>
      </w:r>
      <w:r w:rsidR="004E5C09">
        <w:rPr>
          <w:rFonts w:ascii="Arial" w:hAnsi="Arial" w:cs="Arial"/>
          <w:sz w:val="24"/>
          <w:szCs w:val="24"/>
        </w:rPr>
        <w:t>:</w:t>
      </w:r>
    </w:p>
    <w:p w14:paraId="5549B9E4" w14:textId="77777777" w:rsidR="009124BB" w:rsidRPr="009124BB" w:rsidRDefault="009124BB" w:rsidP="009124BB">
      <w:pPr>
        <w:pStyle w:val="ListParagraph"/>
        <w:rPr>
          <w:rFonts w:ascii="Arial" w:hAnsi="Arial" w:cs="Arial"/>
          <w:sz w:val="24"/>
          <w:szCs w:val="24"/>
        </w:rPr>
      </w:pPr>
    </w:p>
    <w:p w14:paraId="308A7A1A" w14:textId="638A325D" w:rsidR="00306EAF" w:rsidRPr="00D67264" w:rsidRDefault="00306EAF" w:rsidP="009124BB">
      <w:pPr>
        <w:pStyle w:val="ListParagraph"/>
        <w:numPr>
          <w:ilvl w:val="0"/>
          <w:numId w:val="3"/>
        </w:numPr>
        <w:ind w:hanging="513"/>
        <w:jc w:val="both"/>
        <w:rPr>
          <w:rFonts w:ascii="Arial" w:hAnsi="Arial" w:cs="Arial"/>
          <w:sz w:val="24"/>
          <w:szCs w:val="24"/>
        </w:rPr>
      </w:pPr>
      <w:r w:rsidRPr="00D67264">
        <w:rPr>
          <w:rFonts w:ascii="Arial" w:hAnsi="Arial" w:cs="Arial"/>
          <w:sz w:val="24"/>
          <w:szCs w:val="24"/>
        </w:rPr>
        <w:t xml:space="preserve">General Reserves – these are necessary to fund any </w:t>
      </w:r>
      <w:proofErr w:type="gramStart"/>
      <w:r w:rsidRPr="00D67264">
        <w:rPr>
          <w:rFonts w:ascii="Arial" w:hAnsi="Arial" w:cs="Arial"/>
          <w:sz w:val="24"/>
          <w:szCs w:val="24"/>
        </w:rPr>
        <w:t>day to day</w:t>
      </w:r>
      <w:proofErr w:type="gramEnd"/>
      <w:r w:rsidRPr="00D67264">
        <w:rPr>
          <w:rFonts w:ascii="Arial" w:hAnsi="Arial" w:cs="Arial"/>
          <w:sz w:val="24"/>
          <w:szCs w:val="24"/>
        </w:rPr>
        <w:t xml:space="preserve"> cash flow requirements and also to provide a contingency in the event of any unexpected events or emergencies; and</w:t>
      </w:r>
    </w:p>
    <w:p w14:paraId="47BB00A7" w14:textId="4902F0C9" w:rsidR="00306EAF" w:rsidRPr="00D67264" w:rsidRDefault="00306EAF" w:rsidP="009124BB">
      <w:pPr>
        <w:pStyle w:val="ListParagraph"/>
        <w:numPr>
          <w:ilvl w:val="0"/>
          <w:numId w:val="3"/>
        </w:numPr>
        <w:ind w:hanging="513"/>
        <w:jc w:val="both"/>
        <w:rPr>
          <w:rFonts w:ascii="Arial" w:hAnsi="Arial" w:cs="Arial"/>
          <w:sz w:val="24"/>
          <w:szCs w:val="24"/>
        </w:rPr>
      </w:pPr>
      <w:r w:rsidRPr="00D67264">
        <w:rPr>
          <w:rFonts w:ascii="Arial" w:hAnsi="Arial" w:cs="Arial"/>
          <w:sz w:val="24"/>
          <w:szCs w:val="24"/>
        </w:rPr>
        <w:t>Earmarked Reserves – these have been created fo</w:t>
      </w:r>
      <w:r w:rsidR="00FA1E5D">
        <w:rPr>
          <w:rFonts w:ascii="Arial" w:hAnsi="Arial" w:cs="Arial"/>
          <w:sz w:val="24"/>
          <w:szCs w:val="24"/>
        </w:rPr>
        <w:t>r</w:t>
      </w:r>
      <w:r w:rsidRPr="00D67264">
        <w:rPr>
          <w:rFonts w:ascii="Arial" w:hAnsi="Arial" w:cs="Arial"/>
          <w:sz w:val="24"/>
          <w:szCs w:val="24"/>
        </w:rPr>
        <w:t xml:space="preserve"> specific purposes and involve funds being set aside to meet known or predicted future liabilities.</w:t>
      </w:r>
      <w:r w:rsidR="001B1F64" w:rsidRPr="00D67264">
        <w:rPr>
          <w:rFonts w:ascii="Arial" w:hAnsi="Arial" w:cs="Arial"/>
          <w:sz w:val="24"/>
          <w:szCs w:val="24"/>
        </w:rPr>
        <w:t xml:space="preserve"> By establishing such reserves</w:t>
      </w:r>
      <w:r w:rsidR="006228E2" w:rsidRPr="00D67264">
        <w:rPr>
          <w:rFonts w:ascii="Arial" w:hAnsi="Arial" w:cs="Arial"/>
          <w:sz w:val="24"/>
          <w:szCs w:val="24"/>
        </w:rPr>
        <w:t>,</w:t>
      </w:r>
      <w:r w:rsidR="001B1F64" w:rsidRPr="00D67264">
        <w:rPr>
          <w:rFonts w:ascii="Arial" w:hAnsi="Arial" w:cs="Arial"/>
          <w:sz w:val="24"/>
          <w:szCs w:val="24"/>
        </w:rPr>
        <w:t xml:space="preserve"> it will smooth the expenditure profile and avoid liabilities being met from Council Tax in the year that payments are made.</w:t>
      </w:r>
    </w:p>
    <w:p w14:paraId="444773AC" w14:textId="613A974E" w:rsidR="001B1F64" w:rsidRDefault="004A18D5" w:rsidP="009124BB">
      <w:pPr>
        <w:pStyle w:val="ListParagraph"/>
        <w:numPr>
          <w:ilvl w:val="1"/>
          <w:numId w:val="2"/>
        </w:numPr>
        <w:tabs>
          <w:tab w:val="left" w:pos="567"/>
        </w:tabs>
        <w:ind w:left="567" w:hanging="567"/>
        <w:jc w:val="both"/>
        <w:rPr>
          <w:rFonts w:ascii="Arial" w:hAnsi="Arial" w:cs="Arial"/>
          <w:sz w:val="24"/>
          <w:szCs w:val="24"/>
        </w:rPr>
      </w:pPr>
      <w:r w:rsidRPr="00D67264">
        <w:rPr>
          <w:rFonts w:ascii="Arial" w:hAnsi="Arial" w:cs="Arial"/>
          <w:sz w:val="24"/>
          <w:szCs w:val="24"/>
        </w:rPr>
        <w:lastRenderedPageBreak/>
        <w:t xml:space="preserve">The Authority also has a number of provisions on the Balance Sheet which, provide funding for a liability or loss that is known with some certainty will occur in the </w:t>
      </w:r>
      <w:proofErr w:type="gramStart"/>
      <w:r w:rsidRPr="00D67264">
        <w:rPr>
          <w:rFonts w:ascii="Arial" w:hAnsi="Arial" w:cs="Arial"/>
          <w:sz w:val="24"/>
          <w:szCs w:val="24"/>
        </w:rPr>
        <w:t>future</w:t>
      </w:r>
      <w:proofErr w:type="gramEnd"/>
      <w:r w:rsidRPr="00D67264">
        <w:rPr>
          <w:rFonts w:ascii="Arial" w:hAnsi="Arial" w:cs="Arial"/>
          <w:sz w:val="24"/>
          <w:szCs w:val="24"/>
        </w:rPr>
        <w:t xml:space="preserve"> but the timing and amount is less certain.</w:t>
      </w:r>
    </w:p>
    <w:p w14:paraId="1FCB6327" w14:textId="77777777" w:rsidR="009124BB" w:rsidRPr="00D67264" w:rsidRDefault="009124BB" w:rsidP="009124BB">
      <w:pPr>
        <w:pStyle w:val="ListParagraph"/>
        <w:tabs>
          <w:tab w:val="left" w:pos="567"/>
        </w:tabs>
        <w:ind w:left="567"/>
        <w:jc w:val="both"/>
        <w:rPr>
          <w:rFonts w:ascii="Arial" w:hAnsi="Arial" w:cs="Arial"/>
          <w:sz w:val="24"/>
          <w:szCs w:val="24"/>
        </w:rPr>
      </w:pPr>
    </w:p>
    <w:p w14:paraId="5258F3C3" w14:textId="6486110F" w:rsidR="001B1F64" w:rsidRDefault="001B1F64" w:rsidP="009124BB">
      <w:pPr>
        <w:pStyle w:val="ListParagraph"/>
        <w:numPr>
          <w:ilvl w:val="1"/>
          <w:numId w:val="2"/>
        </w:numPr>
        <w:tabs>
          <w:tab w:val="left" w:pos="567"/>
        </w:tabs>
        <w:ind w:left="567" w:hanging="567"/>
        <w:jc w:val="both"/>
        <w:rPr>
          <w:rFonts w:ascii="Arial" w:hAnsi="Arial" w:cs="Arial"/>
          <w:sz w:val="24"/>
          <w:szCs w:val="24"/>
        </w:rPr>
      </w:pPr>
      <w:r w:rsidRPr="00D67264">
        <w:rPr>
          <w:rFonts w:ascii="Arial" w:hAnsi="Arial" w:cs="Arial"/>
          <w:sz w:val="24"/>
          <w:szCs w:val="24"/>
        </w:rPr>
        <w:t xml:space="preserve">There is not a recognised formula for determining the level of reserves that each fire authority should maintain. It is up to each authority to consider the local circumstances and the potential issues/risks that may occur across the medium term. In determining the level of reserves for the Authority the risks and issues that should be taken into </w:t>
      </w:r>
      <w:r w:rsidR="00642019">
        <w:rPr>
          <w:rFonts w:ascii="Arial" w:hAnsi="Arial" w:cs="Arial"/>
          <w:sz w:val="24"/>
          <w:szCs w:val="24"/>
        </w:rPr>
        <w:t>consideration</w:t>
      </w:r>
      <w:r w:rsidR="00F01ADE">
        <w:rPr>
          <w:rFonts w:ascii="Arial" w:hAnsi="Arial" w:cs="Arial"/>
          <w:sz w:val="24"/>
          <w:szCs w:val="24"/>
        </w:rPr>
        <w:t xml:space="preserve"> </w:t>
      </w:r>
      <w:r w:rsidRPr="00D67264">
        <w:rPr>
          <w:rFonts w:ascii="Arial" w:hAnsi="Arial" w:cs="Arial"/>
          <w:sz w:val="24"/>
          <w:szCs w:val="24"/>
        </w:rPr>
        <w:t>will include the following:</w:t>
      </w:r>
    </w:p>
    <w:p w14:paraId="489DE291" w14:textId="77777777" w:rsidR="009124BB" w:rsidRPr="009124BB" w:rsidRDefault="009124BB" w:rsidP="009124BB">
      <w:pPr>
        <w:pStyle w:val="ListParagraph"/>
        <w:rPr>
          <w:rFonts w:ascii="Arial" w:hAnsi="Arial" w:cs="Arial"/>
          <w:sz w:val="24"/>
          <w:szCs w:val="24"/>
        </w:rPr>
      </w:pPr>
    </w:p>
    <w:p w14:paraId="6A2C452D" w14:textId="64071E4C" w:rsidR="00FA1E5D" w:rsidRDefault="00FA1E5D" w:rsidP="009124BB">
      <w:pPr>
        <w:pStyle w:val="ListParagraph"/>
        <w:numPr>
          <w:ilvl w:val="0"/>
          <w:numId w:val="3"/>
        </w:numPr>
        <w:ind w:hanging="513"/>
        <w:jc w:val="both"/>
        <w:rPr>
          <w:rFonts w:ascii="Arial" w:hAnsi="Arial" w:cs="Arial"/>
          <w:sz w:val="24"/>
          <w:szCs w:val="24"/>
        </w:rPr>
      </w:pPr>
      <w:r>
        <w:rPr>
          <w:rFonts w:ascii="Arial" w:hAnsi="Arial" w:cs="Arial"/>
          <w:sz w:val="24"/>
          <w:szCs w:val="24"/>
        </w:rPr>
        <w:t>The risk that specific fire revenue grants are not continued, unlike revenue support grant and business rates top up grant, these grants are paid as Section 31 grants and are not included within baseline funding levels.</w:t>
      </w:r>
    </w:p>
    <w:p w14:paraId="6B34EFD1" w14:textId="3F66C31D" w:rsidR="002279E3" w:rsidRDefault="002279E3" w:rsidP="009124BB">
      <w:pPr>
        <w:pStyle w:val="ListParagraph"/>
        <w:numPr>
          <w:ilvl w:val="0"/>
          <w:numId w:val="3"/>
        </w:numPr>
        <w:ind w:hanging="513"/>
        <w:jc w:val="both"/>
        <w:rPr>
          <w:rFonts w:ascii="Arial" w:hAnsi="Arial" w:cs="Arial"/>
          <w:sz w:val="24"/>
          <w:szCs w:val="24"/>
        </w:rPr>
      </w:pPr>
      <w:r w:rsidRPr="00D67264">
        <w:rPr>
          <w:rFonts w:ascii="Arial" w:hAnsi="Arial" w:cs="Arial"/>
          <w:sz w:val="24"/>
          <w:szCs w:val="24"/>
        </w:rPr>
        <w:t xml:space="preserve">To provide cover for extraordinary or unforeseen events occurring: given the purpose of the fire and rescue service is to respond to emergency situations, there is always the potential for additional, </w:t>
      </w:r>
      <w:proofErr w:type="gramStart"/>
      <w:r w:rsidRPr="00D67264">
        <w:rPr>
          <w:rFonts w:ascii="Arial" w:hAnsi="Arial" w:cs="Arial"/>
          <w:sz w:val="24"/>
          <w:szCs w:val="24"/>
        </w:rPr>
        <w:t>unexpected</w:t>
      </w:r>
      <w:proofErr w:type="gramEnd"/>
      <w:r w:rsidRPr="00D67264">
        <w:rPr>
          <w:rFonts w:ascii="Arial" w:hAnsi="Arial" w:cs="Arial"/>
          <w:sz w:val="24"/>
          <w:szCs w:val="24"/>
        </w:rPr>
        <w:t xml:space="preserve"> and unbudgeted expenditure to occur.</w:t>
      </w:r>
    </w:p>
    <w:p w14:paraId="0B6AD3A4" w14:textId="58A3CEA1" w:rsidR="00F55C9C" w:rsidRDefault="00F55C9C" w:rsidP="009124BB">
      <w:pPr>
        <w:pStyle w:val="ListParagraph"/>
        <w:numPr>
          <w:ilvl w:val="0"/>
          <w:numId w:val="3"/>
        </w:numPr>
        <w:ind w:hanging="513"/>
        <w:jc w:val="both"/>
        <w:rPr>
          <w:rFonts w:ascii="Arial" w:hAnsi="Arial" w:cs="Arial"/>
          <w:sz w:val="24"/>
          <w:szCs w:val="24"/>
        </w:rPr>
      </w:pPr>
      <w:r w:rsidRPr="00D67264">
        <w:rPr>
          <w:rFonts w:ascii="Arial" w:hAnsi="Arial" w:cs="Arial"/>
          <w:sz w:val="24"/>
          <w:szCs w:val="24"/>
        </w:rPr>
        <w:t>The commitments falling on future years as a result of capital plans and proposals to improve the asset base. Having reserves mitigate the impact on the revenue budget of borrowing and/or revenue contributions to capital and would support projects/programmes that will support revenue efficiencies.</w:t>
      </w:r>
    </w:p>
    <w:p w14:paraId="3D93E408" w14:textId="5D2337A7" w:rsidR="00F55C9C" w:rsidRDefault="00F55C9C" w:rsidP="009124BB">
      <w:pPr>
        <w:pStyle w:val="ListParagraph"/>
        <w:numPr>
          <w:ilvl w:val="0"/>
          <w:numId w:val="3"/>
        </w:numPr>
        <w:ind w:hanging="513"/>
        <w:jc w:val="both"/>
        <w:rPr>
          <w:rFonts w:ascii="Arial" w:hAnsi="Arial" w:cs="Arial"/>
          <w:sz w:val="24"/>
          <w:szCs w:val="24"/>
        </w:rPr>
      </w:pPr>
      <w:r w:rsidRPr="00D67264">
        <w:rPr>
          <w:rFonts w:ascii="Arial" w:hAnsi="Arial" w:cs="Arial"/>
          <w:sz w:val="24"/>
          <w:szCs w:val="24"/>
        </w:rPr>
        <w:t>The risk on inflation, especially pay</w:t>
      </w:r>
      <w:r w:rsidR="00642019">
        <w:rPr>
          <w:rFonts w:ascii="Arial" w:hAnsi="Arial" w:cs="Arial"/>
          <w:sz w:val="24"/>
          <w:szCs w:val="24"/>
        </w:rPr>
        <w:t xml:space="preserve"> awards.</w:t>
      </w:r>
      <w:r w:rsidR="00FA1E5D">
        <w:rPr>
          <w:rFonts w:ascii="Arial" w:hAnsi="Arial" w:cs="Arial"/>
          <w:sz w:val="24"/>
          <w:szCs w:val="24"/>
        </w:rPr>
        <w:t xml:space="preserve"> I</w:t>
      </w:r>
      <w:r w:rsidR="00603295">
        <w:rPr>
          <w:rFonts w:ascii="Arial" w:hAnsi="Arial" w:cs="Arial"/>
          <w:sz w:val="24"/>
          <w:szCs w:val="24"/>
        </w:rPr>
        <w:t xml:space="preserve">n </w:t>
      </w:r>
      <w:r w:rsidR="003F63AA">
        <w:rPr>
          <w:rFonts w:ascii="Arial" w:hAnsi="Arial" w:cs="Arial"/>
          <w:sz w:val="24"/>
          <w:szCs w:val="24"/>
        </w:rPr>
        <w:t>2022/23 the agreed pay award for grey book employees was 3% above budget provision which had to be met from existing budgets. This cost an additional £1.2m.</w:t>
      </w:r>
      <w:r w:rsidR="00603295">
        <w:rPr>
          <w:rFonts w:ascii="Arial" w:hAnsi="Arial" w:cs="Arial"/>
          <w:sz w:val="24"/>
          <w:szCs w:val="24"/>
        </w:rPr>
        <w:t xml:space="preserve"> </w:t>
      </w:r>
      <w:r w:rsidR="003F63AA">
        <w:rPr>
          <w:rFonts w:ascii="Arial" w:hAnsi="Arial" w:cs="Arial"/>
          <w:sz w:val="24"/>
          <w:szCs w:val="24"/>
        </w:rPr>
        <w:t>Although the pay award for operational staff has been agreed for 2023/24, the green book pay award is outstanding. If inflation remains high and the budget provision does not cover the cost, the pay award would need to be met from the pay and prices reserve until efficiencies within existing budgets are identified.</w:t>
      </w:r>
    </w:p>
    <w:p w14:paraId="7B851A9D" w14:textId="4C175665" w:rsidR="00394201" w:rsidRDefault="00394201" w:rsidP="009124BB">
      <w:pPr>
        <w:pStyle w:val="ListParagraph"/>
        <w:numPr>
          <w:ilvl w:val="0"/>
          <w:numId w:val="3"/>
        </w:numPr>
        <w:ind w:hanging="513"/>
        <w:jc w:val="both"/>
        <w:rPr>
          <w:rFonts w:ascii="Arial" w:hAnsi="Arial" w:cs="Arial"/>
          <w:sz w:val="24"/>
          <w:szCs w:val="24"/>
        </w:rPr>
      </w:pPr>
      <w:r w:rsidRPr="00D67264">
        <w:rPr>
          <w:rFonts w:ascii="Arial" w:hAnsi="Arial" w:cs="Arial"/>
          <w:sz w:val="24"/>
          <w:szCs w:val="24"/>
        </w:rPr>
        <w:t>Enable the Authority to resource one-off policy developments and initiatives without causing an unduly disruptive impact on Council Tax.</w:t>
      </w:r>
    </w:p>
    <w:p w14:paraId="2966A7F5" w14:textId="1161EC3A" w:rsidR="00394201" w:rsidRDefault="00394201" w:rsidP="009124BB">
      <w:pPr>
        <w:pStyle w:val="ListParagraph"/>
        <w:numPr>
          <w:ilvl w:val="0"/>
          <w:numId w:val="3"/>
        </w:numPr>
        <w:ind w:hanging="513"/>
        <w:jc w:val="both"/>
        <w:rPr>
          <w:rFonts w:ascii="Arial" w:hAnsi="Arial" w:cs="Arial"/>
          <w:sz w:val="24"/>
          <w:szCs w:val="24"/>
        </w:rPr>
      </w:pPr>
      <w:r w:rsidRPr="00D67264">
        <w:rPr>
          <w:rFonts w:ascii="Arial" w:hAnsi="Arial" w:cs="Arial"/>
          <w:sz w:val="24"/>
          <w:szCs w:val="24"/>
        </w:rPr>
        <w:t>Spread the cost of large</w:t>
      </w:r>
      <w:r w:rsidR="00FA1E5D">
        <w:rPr>
          <w:rFonts w:ascii="Arial" w:hAnsi="Arial" w:cs="Arial"/>
          <w:sz w:val="24"/>
          <w:szCs w:val="24"/>
        </w:rPr>
        <w:t>-</w:t>
      </w:r>
      <w:r w:rsidRPr="00D67264">
        <w:rPr>
          <w:rFonts w:ascii="Arial" w:hAnsi="Arial" w:cs="Arial"/>
          <w:sz w:val="24"/>
          <w:szCs w:val="24"/>
        </w:rPr>
        <w:t>scale projects which span a number of years</w:t>
      </w:r>
      <w:r w:rsidR="00AD2767">
        <w:rPr>
          <w:rFonts w:ascii="Arial" w:hAnsi="Arial" w:cs="Arial"/>
          <w:sz w:val="24"/>
          <w:szCs w:val="24"/>
        </w:rPr>
        <w:t>, for example the redevelopment of the FSHQ site.</w:t>
      </w:r>
    </w:p>
    <w:p w14:paraId="5EC8EB9A" w14:textId="77777777" w:rsidR="009124BB" w:rsidRPr="00D67264" w:rsidRDefault="009124BB" w:rsidP="009124BB">
      <w:pPr>
        <w:pStyle w:val="ListParagraph"/>
        <w:ind w:left="1080"/>
        <w:jc w:val="both"/>
        <w:rPr>
          <w:rFonts w:ascii="Arial" w:hAnsi="Arial" w:cs="Arial"/>
          <w:sz w:val="24"/>
          <w:szCs w:val="24"/>
        </w:rPr>
      </w:pPr>
    </w:p>
    <w:p w14:paraId="55CDB79B" w14:textId="70E258A0" w:rsidR="004A18D5" w:rsidRDefault="004A18D5" w:rsidP="009124BB">
      <w:pPr>
        <w:pStyle w:val="ListParagraph"/>
        <w:numPr>
          <w:ilvl w:val="1"/>
          <w:numId w:val="2"/>
        </w:numPr>
        <w:tabs>
          <w:tab w:val="left" w:pos="567"/>
        </w:tabs>
        <w:ind w:left="567" w:hanging="567"/>
        <w:jc w:val="both"/>
        <w:rPr>
          <w:rFonts w:ascii="Arial" w:hAnsi="Arial" w:cs="Arial"/>
          <w:sz w:val="24"/>
          <w:szCs w:val="24"/>
        </w:rPr>
      </w:pPr>
      <w:r w:rsidRPr="00D67264">
        <w:rPr>
          <w:rFonts w:ascii="Arial" w:hAnsi="Arial" w:cs="Arial"/>
          <w:sz w:val="24"/>
          <w:szCs w:val="24"/>
        </w:rPr>
        <w:t>The Authority has a robust approach to managing risk and there are effective arrangements for financial control in place. However, given the high level of</w:t>
      </w:r>
      <w:r w:rsidR="000F3265" w:rsidRPr="00D67264">
        <w:rPr>
          <w:rFonts w:ascii="Arial" w:hAnsi="Arial" w:cs="Arial"/>
          <w:sz w:val="24"/>
          <w:szCs w:val="24"/>
        </w:rPr>
        <w:t xml:space="preserve"> influence of third parties such as the Local Government Employers and Government departments on its income and expenditure there is always the risk that the Authority will unexpectedly become liable for expenditure that it has not budgeted for.</w:t>
      </w:r>
    </w:p>
    <w:p w14:paraId="366EF853" w14:textId="77777777" w:rsidR="009124BB" w:rsidRPr="00D67264" w:rsidRDefault="009124BB" w:rsidP="009124BB">
      <w:pPr>
        <w:pStyle w:val="ListParagraph"/>
        <w:tabs>
          <w:tab w:val="left" w:pos="567"/>
        </w:tabs>
        <w:ind w:left="567"/>
        <w:jc w:val="both"/>
        <w:rPr>
          <w:rFonts w:ascii="Arial" w:hAnsi="Arial" w:cs="Arial"/>
          <w:sz w:val="24"/>
          <w:szCs w:val="24"/>
        </w:rPr>
      </w:pPr>
    </w:p>
    <w:p w14:paraId="3505115B" w14:textId="545619C1" w:rsidR="009124BB" w:rsidRDefault="00394201" w:rsidP="009124BB">
      <w:pPr>
        <w:pStyle w:val="ListParagraph"/>
        <w:numPr>
          <w:ilvl w:val="1"/>
          <w:numId w:val="2"/>
        </w:numPr>
        <w:tabs>
          <w:tab w:val="left" w:pos="567"/>
        </w:tabs>
        <w:ind w:left="567" w:hanging="567"/>
        <w:jc w:val="both"/>
        <w:rPr>
          <w:rFonts w:ascii="Arial" w:hAnsi="Arial" w:cs="Arial"/>
          <w:sz w:val="24"/>
          <w:szCs w:val="24"/>
        </w:rPr>
      </w:pPr>
      <w:r w:rsidRPr="00D67264">
        <w:rPr>
          <w:rFonts w:ascii="Arial" w:hAnsi="Arial" w:cs="Arial"/>
          <w:sz w:val="24"/>
          <w:szCs w:val="24"/>
        </w:rPr>
        <w:t>Reserves only provide one off funding so the Authority aims to avoid using reserves to meet regular and ongoing financial commitments, other than as part of a sustainable medium-term budget plan</w:t>
      </w:r>
      <w:r w:rsidR="009124BB">
        <w:rPr>
          <w:rFonts w:ascii="Arial" w:hAnsi="Arial" w:cs="Arial"/>
          <w:sz w:val="24"/>
          <w:szCs w:val="24"/>
        </w:rPr>
        <w:t>.</w:t>
      </w:r>
    </w:p>
    <w:p w14:paraId="068EEAA3" w14:textId="77777777" w:rsidR="009124BB" w:rsidRPr="009124BB" w:rsidRDefault="009124BB" w:rsidP="009124BB">
      <w:pPr>
        <w:pStyle w:val="ListParagraph"/>
        <w:tabs>
          <w:tab w:val="left" w:pos="567"/>
        </w:tabs>
        <w:ind w:left="567"/>
        <w:jc w:val="both"/>
        <w:rPr>
          <w:rFonts w:ascii="Arial" w:hAnsi="Arial" w:cs="Arial"/>
          <w:sz w:val="24"/>
          <w:szCs w:val="24"/>
        </w:rPr>
      </w:pPr>
    </w:p>
    <w:p w14:paraId="30F1AF9F" w14:textId="1D7DEFC7" w:rsidR="00702695" w:rsidRPr="00D67264" w:rsidRDefault="00972AB9" w:rsidP="009124BB">
      <w:pPr>
        <w:pStyle w:val="ListParagraph"/>
        <w:numPr>
          <w:ilvl w:val="1"/>
          <w:numId w:val="2"/>
        </w:numPr>
        <w:tabs>
          <w:tab w:val="left" w:pos="567"/>
        </w:tabs>
        <w:ind w:left="567" w:hanging="567"/>
        <w:jc w:val="both"/>
        <w:rPr>
          <w:rFonts w:ascii="Arial" w:hAnsi="Arial" w:cs="Arial"/>
          <w:b/>
          <w:sz w:val="24"/>
          <w:szCs w:val="24"/>
          <w:u w:val="single"/>
        </w:rPr>
      </w:pPr>
      <w:r w:rsidRPr="00D67264">
        <w:rPr>
          <w:rFonts w:ascii="Arial" w:hAnsi="Arial" w:cs="Arial"/>
          <w:sz w:val="24"/>
          <w:szCs w:val="24"/>
        </w:rPr>
        <w:lastRenderedPageBreak/>
        <w:t>The Authority has set its</w:t>
      </w:r>
      <w:r w:rsidR="009E5BA4" w:rsidRPr="00D67264">
        <w:rPr>
          <w:rFonts w:ascii="Arial" w:hAnsi="Arial" w:cs="Arial"/>
          <w:sz w:val="24"/>
          <w:szCs w:val="24"/>
        </w:rPr>
        <w:t>’</w:t>
      </w:r>
      <w:r w:rsidRPr="00D67264">
        <w:rPr>
          <w:rFonts w:ascii="Arial" w:hAnsi="Arial" w:cs="Arial"/>
          <w:sz w:val="24"/>
          <w:szCs w:val="24"/>
        </w:rPr>
        <w:t xml:space="preserve"> </w:t>
      </w:r>
      <w:r w:rsidR="009E5BA4" w:rsidRPr="00D67264">
        <w:rPr>
          <w:rFonts w:ascii="Arial" w:hAnsi="Arial" w:cs="Arial"/>
          <w:sz w:val="24"/>
          <w:szCs w:val="24"/>
        </w:rPr>
        <w:t xml:space="preserve">guideline </w:t>
      </w:r>
      <w:r w:rsidRPr="00D67264">
        <w:rPr>
          <w:rFonts w:ascii="Arial" w:hAnsi="Arial" w:cs="Arial"/>
          <w:sz w:val="24"/>
          <w:szCs w:val="24"/>
        </w:rPr>
        <w:t>Prudential indicator for the General Reserve at 5% of annual budget which is a commonly used benchmark across the fire sector. The Authority also uses the Risk Register to determine the level of General Fun</w:t>
      </w:r>
      <w:r w:rsidR="009E5BA4" w:rsidRPr="00D67264">
        <w:rPr>
          <w:rFonts w:ascii="Arial" w:hAnsi="Arial" w:cs="Arial"/>
          <w:sz w:val="24"/>
          <w:szCs w:val="24"/>
        </w:rPr>
        <w:t>d Reserve. This Risk R</w:t>
      </w:r>
      <w:r w:rsidRPr="00D67264">
        <w:rPr>
          <w:rFonts w:ascii="Arial" w:hAnsi="Arial" w:cs="Arial"/>
          <w:sz w:val="24"/>
          <w:szCs w:val="24"/>
        </w:rPr>
        <w:t xml:space="preserve">egister details </w:t>
      </w:r>
      <w:proofErr w:type="gramStart"/>
      <w:r w:rsidR="000F7AB9">
        <w:rPr>
          <w:rFonts w:ascii="Arial" w:hAnsi="Arial" w:cs="Arial"/>
          <w:sz w:val="24"/>
          <w:szCs w:val="24"/>
        </w:rPr>
        <w:t>fifty four</w:t>
      </w:r>
      <w:proofErr w:type="gramEnd"/>
      <w:r w:rsidR="009E5BA4" w:rsidRPr="00D67264">
        <w:rPr>
          <w:rFonts w:ascii="Arial" w:hAnsi="Arial" w:cs="Arial"/>
          <w:sz w:val="24"/>
          <w:szCs w:val="24"/>
        </w:rPr>
        <w:t xml:space="preserve"> separate </w:t>
      </w:r>
      <w:r w:rsidRPr="00D67264">
        <w:rPr>
          <w:rFonts w:ascii="Arial" w:hAnsi="Arial" w:cs="Arial"/>
          <w:sz w:val="24"/>
          <w:szCs w:val="24"/>
        </w:rPr>
        <w:t>risk</w:t>
      </w:r>
      <w:r w:rsidR="009E5BA4" w:rsidRPr="00D67264">
        <w:rPr>
          <w:rFonts w:ascii="Arial" w:hAnsi="Arial" w:cs="Arial"/>
          <w:sz w:val="24"/>
          <w:szCs w:val="24"/>
        </w:rPr>
        <w:t>s</w:t>
      </w:r>
      <w:r w:rsidRPr="00D67264">
        <w:rPr>
          <w:rFonts w:ascii="Arial" w:hAnsi="Arial" w:cs="Arial"/>
          <w:sz w:val="24"/>
          <w:szCs w:val="24"/>
        </w:rPr>
        <w:t xml:space="preserve"> the Authority</w:t>
      </w:r>
      <w:r w:rsidR="009E5BA4" w:rsidRPr="00D67264">
        <w:rPr>
          <w:rFonts w:ascii="Arial" w:hAnsi="Arial" w:cs="Arial"/>
          <w:sz w:val="24"/>
          <w:szCs w:val="24"/>
        </w:rPr>
        <w:t xml:space="preserve"> faces, which has an estimated financial liability of £5m. </w:t>
      </w:r>
      <w:r w:rsidR="00D76DAD">
        <w:rPr>
          <w:rFonts w:ascii="Arial" w:hAnsi="Arial" w:cs="Arial"/>
          <w:sz w:val="24"/>
          <w:szCs w:val="24"/>
        </w:rPr>
        <w:t xml:space="preserve">The General Fund reserve </w:t>
      </w:r>
      <w:r w:rsidR="009E5BA4" w:rsidRPr="00D67264">
        <w:rPr>
          <w:rFonts w:ascii="Arial" w:hAnsi="Arial" w:cs="Arial"/>
          <w:sz w:val="24"/>
          <w:szCs w:val="24"/>
        </w:rPr>
        <w:t xml:space="preserve">equates to </w:t>
      </w:r>
      <w:r w:rsidR="00FA7A5E">
        <w:rPr>
          <w:rFonts w:ascii="Arial" w:hAnsi="Arial" w:cs="Arial"/>
          <w:sz w:val="24"/>
          <w:szCs w:val="24"/>
        </w:rPr>
        <w:t>4.8</w:t>
      </w:r>
      <w:r w:rsidR="009E5BA4" w:rsidRPr="00D67264">
        <w:rPr>
          <w:rFonts w:ascii="Arial" w:hAnsi="Arial" w:cs="Arial"/>
          <w:sz w:val="24"/>
          <w:szCs w:val="24"/>
        </w:rPr>
        <w:t xml:space="preserve">% of the annual budget, slightly </w:t>
      </w:r>
      <w:r w:rsidR="00FA7A5E">
        <w:rPr>
          <w:rFonts w:ascii="Arial" w:hAnsi="Arial" w:cs="Arial"/>
          <w:sz w:val="24"/>
          <w:szCs w:val="24"/>
        </w:rPr>
        <w:t>lower</w:t>
      </w:r>
      <w:r w:rsidR="009E5BA4" w:rsidRPr="00D67264">
        <w:rPr>
          <w:rFonts w:ascii="Arial" w:hAnsi="Arial" w:cs="Arial"/>
          <w:sz w:val="24"/>
          <w:szCs w:val="24"/>
        </w:rPr>
        <w:t xml:space="preserve"> than the guideline of 5%.</w:t>
      </w:r>
    </w:p>
    <w:p w14:paraId="2CAF3740" w14:textId="3FEFBE39" w:rsidR="0029691E" w:rsidRPr="009124BB" w:rsidRDefault="00432A67" w:rsidP="009124BB">
      <w:pPr>
        <w:pStyle w:val="Heading1"/>
        <w:numPr>
          <w:ilvl w:val="0"/>
          <w:numId w:val="2"/>
        </w:numPr>
        <w:tabs>
          <w:tab w:val="left" w:pos="567"/>
        </w:tabs>
        <w:ind w:hanging="924"/>
        <w:rPr>
          <w:rFonts w:cs="Arial"/>
          <w:u w:val="single"/>
        </w:rPr>
      </w:pPr>
      <w:r w:rsidRPr="009124BB">
        <w:rPr>
          <w:rFonts w:cs="Arial"/>
          <w:u w:val="single"/>
        </w:rPr>
        <w:t>Reserves Position 1 April 20</w:t>
      </w:r>
      <w:r w:rsidR="00F01ADE" w:rsidRPr="009124BB">
        <w:rPr>
          <w:rFonts w:cs="Arial"/>
          <w:u w:val="single"/>
        </w:rPr>
        <w:t>2</w:t>
      </w:r>
      <w:r w:rsidR="00FA7A5E">
        <w:rPr>
          <w:rFonts w:cs="Arial"/>
          <w:u w:val="single"/>
        </w:rPr>
        <w:t>3</w:t>
      </w:r>
    </w:p>
    <w:p w14:paraId="6332A2B5" w14:textId="3D0409D9" w:rsidR="009124BB" w:rsidRDefault="0029691E" w:rsidP="00070840">
      <w:pPr>
        <w:pStyle w:val="ListParagraph"/>
        <w:numPr>
          <w:ilvl w:val="1"/>
          <w:numId w:val="2"/>
        </w:numPr>
        <w:tabs>
          <w:tab w:val="left" w:pos="567"/>
        </w:tabs>
        <w:ind w:left="567" w:hanging="567"/>
        <w:jc w:val="both"/>
        <w:rPr>
          <w:rFonts w:ascii="Arial" w:hAnsi="Arial" w:cs="Arial"/>
          <w:sz w:val="24"/>
          <w:szCs w:val="24"/>
        </w:rPr>
      </w:pPr>
      <w:r w:rsidRPr="00FA7A5E">
        <w:rPr>
          <w:rFonts w:ascii="Arial" w:hAnsi="Arial" w:cs="Arial"/>
          <w:sz w:val="24"/>
          <w:szCs w:val="24"/>
        </w:rPr>
        <w:t>The level of cash fluctuates during the year due to the timing of Government grants, notably the to</w:t>
      </w:r>
      <w:r w:rsidR="00432A67" w:rsidRPr="00FA7A5E">
        <w:rPr>
          <w:rFonts w:ascii="Arial" w:hAnsi="Arial" w:cs="Arial"/>
          <w:sz w:val="24"/>
          <w:szCs w:val="24"/>
        </w:rPr>
        <w:t>p up grant which we received £3</w:t>
      </w:r>
      <w:r w:rsidR="00FA7A5E" w:rsidRPr="00FA7A5E">
        <w:rPr>
          <w:rFonts w:ascii="Arial" w:hAnsi="Arial" w:cs="Arial"/>
          <w:sz w:val="24"/>
          <w:szCs w:val="24"/>
        </w:rPr>
        <w:t>5</w:t>
      </w:r>
      <w:r w:rsidR="00432A67" w:rsidRPr="00FA7A5E">
        <w:rPr>
          <w:rFonts w:ascii="Arial" w:hAnsi="Arial" w:cs="Arial"/>
          <w:sz w:val="24"/>
          <w:szCs w:val="24"/>
        </w:rPr>
        <w:t xml:space="preserve"> million in July 20</w:t>
      </w:r>
      <w:r w:rsidR="00F01ADE" w:rsidRPr="00FA7A5E">
        <w:rPr>
          <w:rFonts w:ascii="Arial" w:hAnsi="Arial" w:cs="Arial"/>
          <w:sz w:val="24"/>
          <w:szCs w:val="24"/>
        </w:rPr>
        <w:t>2</w:t>
      </w:r>
      <w:r w:rsidR="00FA7A5E" w:rsidRPr="00FA7A5E">
        <w:rPr>
          <w:rFonts w:ascii="Arial" w:hAnsi="Arial" w:cs="Arial"/>
          <w:sz w:val="24"/>
          <w:szCs w:val="24"/>
        </w:rPr>
        <w:t>3</w:t>
      </w:r>
      <w:r w:rsidRPr="00FA7A5E">
        <w:rPr>
          <w:rFonts w:ascii="Arial" w:hAnsi="Arial" w:cs="Arial"/>
          <w:sz w:val="24"/>
          <w:szCs w:val="24"/>
        </w:rPr>
        <w:t xml:space="preserve">. If the Authority wanted to utilise reserves which exceeds our working cash flow balance, we would need to borrow. </w:t>
      </w:r>
    </w:p>
    <w:p w14:paraId="51EF9D70" w14:textId="77777777" w:rsidR="00FA7A5E" w:rsidRPr="00FA7A5E" w:rsidRDefault="00FA7A5E" w:rsidP="00FA7A5E">
      <w:pPr>
        <w:pStyle w:val="ListParagraph"/>
        <w:tabs>
          <w:tab w:val="left" w:pos="567"/>
        </w:tabs>
        <w:ind w:left="567"/>
        <w:jc w:val="both"/>
        <w:rPr>
          <w:rFonts w:ascii="Arial" w:hAnsi="Arial" w:cs="Arial"/>
          <w:sz w:val="24"/>
          <w:szCs w:val="24"/>
        </w:rPr>
      </w:pPr>
    </w:p>
    <w:p w14:paraId="28C93213" w14:textId="5F439815" w:rsidR="00DA4104" w:rsidRDefault="00DA4104" w:rsidP="009124BB">
      <w:pPr>
        <w:pStyle w:val="ListParagraph"/>
        <w:numPr>
          <w:ilvl w:val="1"/>
          <w:numId w:val="2"/>
        </w:numPr>
        <w:tabs>
          <w:tab w:val="left" w:pos="567"/>
        </w:tabs>
        <w:ind w:left="567" w:hanging="567"/>
        <w:jc w:val="both"/>
        <w:rPr>
          <w:rFonts w:ascii="Arial" w:eastAsia="Calibri" w:hAnsi="Arial" w:cs="Arial"/>
          <w:sz w:val="24"/>
          <w:szCs w:val="24"/>
        </w:rPr>
      </w:pPr>
      <w:r w:rsidRPr="009124BB">
        <w:rPr>
          <w:rFonts w:ascii="Arial" w:hAnsi="Arial" w:cs="Arial"/>
          <w:sz w:val="24"/>
          <w:szCs w:val="24"/>
        </w:rPr>
        <w:t>The current</w:t>
      </w:r>
      <w:r w:rsidRPr="00D67264">
        <w:rPr>
          <w:rFonts w:ascii="Arial" w:eastAsia="Calibri" w:hAnsi="Arial" w:cs="Arial"/>
          <w:sz w:val="24"/>
          <w:szCs w:val="24"/>
        </w:rPr>
        <w:t xml:space="preserve"> balance of reserves is summarised in the table below:</w:t>
      </w:r>
    </w:p>
    <w:p w14:paraId="6F3A586A" w14:textId="77777777" w:rsidR="009124BB" w:rsidRPr="009124BB" w:rsidRDefault="009124BB" w:rsidP="009124BB">
      <w:pPr>
        <w:pStyle w:val="ListParagraph"/>
        <w:rPr>
          <w:rFonts w:ascii="Arial" w:eastAsia="Calibri" w:hAnsi="Arial" w:cs="Arial"/>
          <w:sz w:val="24"/>
          <w:szCs w:val="24"/>
        </w:rPr>
      </w:pPr>
    </w:p>
    <w:p w14:paraId="3F2E5331" w14:textId="77777777" w:rsidR="009124BB" w:rsidRPr="00D67264" w:rsidRDefault="009124BB" w:rsidP="009124BB">
      <w:pPr>
        <w:pStyle w:val="ListParagraph"/>
        <w:tabs>
          <w:tab w:val="left" w:pos="567"/>
        </w:tabs>
        <w:ind w:left="567"/>
        <w:jc w:val="both"/>
        <w:rPr>
          <w:rFonts w:ascii="Arial" w:eastAsia="Calibri" w:hAnsi="Arial" w:cs="Arial"/>
          <w:sz w:val="24"/>
          <w:szCs w:val="24"/>
        </w:rPr>
      </w:pPr>
    </w:p>
    <w:p w14:paraId="5DADF2E7" w14:textId="5E9FBF06" w:rsidR="002A3B03" w:rsidRDefault="007839C0" w:rsidP="00573E7A">
      <w:pPr>
        <w:spacing w:after="200" w:line="276" w:lineRule="auto"/>
        <w:jc w:val="center"/>
        <w:rPr>
          <w:rFonts w:ascii="Arial" w:eastAsia="Calibri" w:hAnsi="Arial" w:cs="Arial"/>
        </w:rPr>
      </w:pPr>
      <w:r w:rsidRPr="007839C0">
        <w:drawing>
          <wp:inline distT="0" distB="0" distL="0" distR="0" wp14:anchorId="0C1A0262" wp14:editId="26A68DEF">
            <wp:extent cx="2696845" cy="1485265"/>
            <wp:effectExtent l="0" t="0" r="825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6845" cy="1485265"/>
                    </a:xfrm>
                    <a:prstGeom prst="rect">
                      <a:avLst/>
                    </a:prstGeom>
                    <a:noFill/>
                    <a:ln>
                      <a:noFill/>
                    </a:ln>
                  </pic:spPr>
                </pic:pic>
              </a:graphicData>
            </a:graphic>
          </wp:inline>
        </w:drawing>
      </w:r>
    </w:p>
    <w:p w14:paraId="784B4AFE" w14:textId="77777777" w:rsidR="009124BB" w:rsidRPr="00702695" w:rsidRDefault="009124BB" w:rsidP="00573E7A">
      <w:pPr>
        <w:spacing w:after="200" w:line="276" w:lineRule="auto"/>
        <w:jc w:val="center"/>
        <w:rPr>
          <w:rFonts w:ascii="Arial" w:eastAsia="Calibri" w:hAnsi="Arial" w:cs="Arial"/>
        </w:rPr>
      </w:pPr>
    </w:p>
    <w:p w14:paraId="7832D865" w14:textId="0EB6F5FB" w:rsidR="0029691E" w:rsidRDefault="0029691E" w:rsidP="009124BB">
      <w:pPr>
        <w:pStyle w:val="ListParagraph"/>
        <w:numPr>
          <w:ilvl w:val="1"/>
          <w:numId w:val="2"/>
        </w:numPr>
        <w:tabs>
          <w:tab w:val="left" w:pos="567"/>
        </w:tabs>
        <w:ind w:left="567" w:hanging="567"/>
        <w:jc w:val="both"/>
        <w:rPr>
          <w:rFonts w:ascii="Arial" w:eastAsia="Calibri" w:hAnsi="Arial" w:cs="Arial"/>
          <w:sz w:val="24"/>
          <w:szCs w:val="24"/>
        </w:rPr>
      </w:pPr>
      <w:r w:rsidRPr="00D67264">
        <w:rPr>
          <w:rFonts w:ascii="Arial" w:eastAsia="Calibri" w:hAnsi="Arial" w:cs="Arial"/>
          <w:sz w:val="24"/>
          <w:szCs w:val="24"/>
        </w:rPr>
        <w:t xml:space="preserve">The general fund reserve is not specified for a determined use: it is maintained for cash flow purposes. </w:t>
      </w:r>
    </w:p>
    <w:p w14:paraId="1C074A18" w14:textId="77777777" w:rsidR="009124BB" w:rsidRPr="00D67264" w:rsidRDefault="009124BB" w:rsidP="009124BB">
      <w:pPr>
        <w:pStyle w:val="ListParagraph"/>
        <w:tabs>
          <w:tab w:val="left" w:pos="567"/>
        </w:tabs>
        <w:ind w:left="567"/>
        <w:jc w:val="both"/>
        <w:rPr>
          <w:rFonts w:ascii="Arial" w:eastAsia="Calibri" w:hAnsi="Arial" w:cs="Arial"/>
          <w:sz w:val="24"/>
          <w:szCs w:val="24"/>
        </w:rPr>
      </w:pPr>
    </w:p>
    <w:p w14:paraId="772CA89B" w14:textId="42962C42" w:rsidR="009124BB" w:rsidRDefault="0029691E" w:rsidP="009124BB">
      <w:pPr>
        <w:pStyle w:val="ListParagraph"/>
        <w:numPr>
          <w:ilvl w:val="1"/>
          <w:numId w:val="2"/>
        </w:numPr>
        <w:tabs>
          <w:tab w:val="left" w:pos="567"/>
        </w:tabs>
        <w:ind w:left="567" w:hanging="567"/>
        <w:jc w:val="both"/>
        <w:rPr>
          <w:rFonts w:ascii="Arial" w:eastAsia="Calibri" w:hAnsi="Arial" w:cs="Arial"/>
          <w:sz w:val="24"/>
          <w:szCs w:val="24"/>
        </w:rPr>
      </w:pPr>
      <w:r w:rsidRPr="00D67264">
        <w:rPr>
          <w:rFonts w:ascii="Arial" w:eastAsia="Calibri" w:hAnsi="Arial" w:cs="Arial"/>
          <w:sz w:val="24"/>
          <w:szCs w:val="24"/>
        </w:rPr>
        <w:t>Earmarked reserves are funds that are set aside to meet costs for specific purposes in future financial years. These reserves allow the Authority to adopt a more flexible approach to budget management and meet cost pressures in future years. Some reserves are a result of the receipt of a Government grant that has been given for a specific purpose, others are from the transfer of revenue budgets to reserves for future costs.</w:t>
      </w:r>
    </w:p>
    <w:p w14:paraId="162CAE94" w14:textId="77777777" w:rsidR="009124BB" w:rsidRPr="009124BB" w:rsidRDefault="009124BB" w:rsidP="009124BB">
      <w:pPr>
        <w:pStyle w:val="ListParagraph"/>
        <w:tabs>
          <w:tab w:val="left" w:pos="567"/>
        </w:tabs>
        <w:ind w:left="567"/>
        <w:jc w:val="both"/>
        <w:rPr>
          <w:rFonts w:ascii="Arial" w:eastAsia="Calibri" w:hAnsi="Arial" w:cs="Arial"/>
          <w:sz w:val="24"/>
          <w:szCs w:val="24"/>
        </w:rPr>
      </w:pPr>
    </w:p>
    <w:p w14:paraId="1F118998" w14:textId="35C88AD1" w:rsidR="00F01ADE" w:rsidRDefault="0029691E" w:rsidP="009124BB">
      <w:pPr>
        <w:pStyle w:val="ListParagraph"/>
        <w:numPr>
          <w:ilvl w:val="1"/>
          <w:numId w:val="2"/>
        </w:numPr>
        <w:tabs>
          <w:tab w:val="left" w:pos="567"/>
        </w:tabs>
        <w:ind w:left="567" w:hanging="567"/>
        <w:jc w:val="both"/>
        <w:rPr>
          <w:rFonts w:ascii="Arial" w:eastAsia="Calibri" w:hAnsi="Arial" w:cs="Arial"/>
          <w:sz w:val="24"/>
          <w:szCs w:val="24"/>
        </w:rPr>
      </w:pPr>
      <w:r w:rsidRPr="00D67264">
        <w:rPr>
          <w:rFonts w:ascii="Arial" w:eastAsia="Calibri" w:hAnsi="Arial" w:cs="Arial"/>
          <w:sz w:val="24"/>
          <w:szCs w:val="24"/>
        </w:rPr>
        <w:t>Detailed below are the</w:t>
      </w:r>
      <w:r w:rsidR="0020156D" w:rsidRPr="00D67264">
        <w:rPr>
          <w:rFonts w:ascii="Arial" w:eastAsia="Calibri" w:hAnsi="Arial" w:cs="Arial"/>
          <w:sz w:val="24"/>
          <w:szCs w:val="24"/>
        </w:rPr>
        <w:t xml:space="preserve"> Authority’</w:t>
      </w:r>
      <w:r w:rsidR="004054E4" w:rsidRPr="00D67264">
        <w:rPr>
          <w:rFonts w:ascii="Arial" w:eastAsia="Calibri" w:hAnsi="Arial" w:cs="Arial"/>
          <w:sz w:val="24"/>
          <w:szCs w:val="24"/>
        </w:rPr>
        <w:t>s</w:t>
      </w:r>
      <w:r w:rsidR="0020156D" w:rsidRPr="00D67264">
        <w:rPr>
          <w:rFonts w:ascii="Arial" w:eastAsia="Calibri" w:hAnsi="Arial" w:cs="Arial"/>
          <w:sz w:val="24"/>
          <w:szCs w:val="24"/>
        </w:rPr>
        <w:t xml:space="preserve"> reserves, </w:t>
      </w:r>
      <w:r w:rsidRPr="00D67264">
        <w:rPr>
          <w:rFonts w:ascii="Arial" w:eastAsia="Calibri" w:hAnsi="Arial" w:cs="Arial"/>
          <w:sz w:val="24"/>
          <w:szCs w:val="24"/>
        </w:rPr>
        <w:t>an explanation of their purpose</w:t>
      </w:r>
      <w:r w:rsidR="0020156D" w:rsidRPr="00D67264">
        <w:rPr>
          <w:rFonts w:ascii="Arial" w:eastAsia="Calibri" w:hAnsi="Arial" w:cs="Arial"/>
          <w:sz w:val="24"/>
          <w:szCs w:val="24"/>
        </w:rPr>
        <w:t xml:space="preserve"> and f</w:t>
      </w:r>
      <w:r w:rsidR="009E5BA4" w:rsidRPr="00D67264">
        <w:rPr>
          <w:rFonts w:ascii="Arial" w:eastAsia="Calibri" w:hAnsi="Arial" w:cs="Arial"/>
          <w:sz w:val="24"/>
          <w:szCs w:val="24"/>
        </w:rPr>
        <w:t>orecast balance at the 31/3/202</w:t>
      </w:r>
      <w:r w:rsidR="007839C0">
        <w:rPr>
          <w:rFonts w:ascii="Arial" w:eastAsia="Calibri" w:hAnsi="Arial" w:cs="Arial"/>
          <w:sz w:val="24"/>
          <w:szCs w:val="24"/>
        </w:rPr>
        <w:t>8</w:t>
      </w:r>
      <w:r w:rsidR="00642019">
        <w:rPr>
          <w:rFonts w:ascii="Arial" w:eastAsia="Calibri" w:hAnsi="Arial" w:cs="Arial"/>
          <w:sz w:val="24"/>
          <w:szCs w:val="24"/>
        </w:rPr>
        <w:t>.</w:t>
      </w:r>
    </w:p>
    <w:p w14:paraId="1BE564D8" w14:textId="77777777" w:rsidR="0043739E" w:rsidRDefault="0043739E" w:rsidP="0029691E">
      <w:pPr>
        <w:spacing w:after="200" w:line="276" w:lineRule="auto"/>
        <w:rPr>
          <w:rFonts w:ascii="Arial" w:eastAsia="Calibri" w:hAnsi="Arial" w:cs="Arial"/>
          <w:b/>
          <w:sz w:val="24"/>
          <w:szCs w:val="24"/>
          <w:u w:val="single"/>
        </w:rPr>
      </w:pPr>
    </w:p>
    <w:p w14:paraId="0850AEBD" w14:textId="77777777" w:rsidR="0043739E" w:rsidRDefault="0043739E" w:rsidP="0029691E">
      <w:pPr>
        <w:spacing w:after="200" w:line="276" w:lineRule="auto"/>
        <w:rPr>
          <w:rFonts w:ascii="Arial" w:eastAsia="Calibri" w:hAnsi="Arial" w:cs="Arial"/>
          <w:b/>
          <w:sz w:val="24"/>
          <w:szCs w:val="24"/>
          <w:u w:val="single"/>
        </w:rPr>
      </w:pPr>
    </w:p>
    <w:p w14:paraId="78448C8D" w14:textId="77777777" w:rsidR="0043739E" w:rsidRDefault="0043739E" w:rsidP="0029691E">
      <w:pPr>
        <w:spacing w:after="200" w:line="276" w:lineRule="auto"/>
        <w:rPr>
          <w:rFonts w:ascii="Arial" w:eastAsia="Calibri" w:hAnsi="Arial" w:cs="Arial"/>
          <w:b/>
          <w:sz w:val="24"/>
          <w:szCs w:val="24"/>
          <w:u w:val="single"/>
        </w:rPr>
      </w:pPr>
    </w:p>
    <w:p w14:paraId="7459BFAC" w14:textId="5A0640F3" w:rsidR="00665595" w:rsidRPr="00702695" w:rsidRDefault="00C77718" w:rsidP="0029691E">
      <w:pPr>
        <w:spacing w:after="200" w:line="276" w:lineRule="auto"/>
        <w:rPr>
          <w:rFonts w:ascii="Arial" w:eastAsia="Calibri" w:hAnsi="Arial" w:cs="Arial"/>
          <w:b/>
          <w:u w:val="single"/>
        </w:rPr>
      </w:pPr>
      <w:r w:rsidRPr="00C77718">
        <w:lastRenderedPageBreak/>
        <w:drawing>
          <wp:inline distT="0" distB="0" distL="0" distR="0" wp14:anchorId="4A67A43E" wp14:editId="54C8042A">
            <wp:extent cx="5731017" cy="9556743"/>
            <wp:effectExtent l="0" t="0" r="317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0495" cy="9589223"/>
                    </a:xfrm>
                    <a:prstGeom prst="rect">
                      <a:avLst/>
                    </a:prstGeom>
                    <a:noFill/>
                    <a:ln>
                      <a:noFill/>
                    </a:ln>
                  </pic:spPr>
                </pic:pic>
              </a:graphicData>
            </a:graphic>
          </wp:inline>
        </w:drawing>
      </w:r>
    </w:p>
    <w:p w14:paraId="06DE1894" w14:textId="519AFB0D" w:rsidR="004316F7" w:rsidRPr="00702695" w:rsidRDefault="00C77718" w:rsidP="00EC4E20">
      <w:pPr>
        <w:spacing w:after="200" w:line="276" w:lineRule="auto"/>
        <w:jc w:val="both"/>
        <w:rPr>
          <w:rFonts w:ascii="Arial" w:eastAsia="Calibri" w:hAnsi="Arial" w:cs="Arial"/>
          <w:u w:val="single"/>
        </w:rPr>
      </w:pPr>
      <w:r w:rsidRPr="00C77718">
        <w:lastRenderedPageBreak/>
        <w:drawing>
          <wp:inline distT="0" distB="0" distL="0" distR="0" wp14:anchorId="2DD514DE" wp14:editId="0B589D63">
            <wp:extent cx="5731510" cy="6242050"/>
            <wp:effectExtent l="0" t="0" r="254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6242050"/>
                    </a:xfrm>
                    <a:prstGeom prst="rect">
                      <a:avLst/>
                    </a:prstGeom>
                    <a:noFill/>
                    <a:ln>
                      <a:noFill/>
                    </a:ln>
                  </pic:spPr>
                </pic:pic>
              </a:graphicData>
            </a:graphic>
          </wp:inline>
        </w:drawing>
      </w:r>
    </w:p>
    <w:p w14:paraId="1E615B0A" w14:textId="77777777" w:rsidR="00854C92" w:rsidRDefault="00854C92" w:rsidP="0029691E">
      <w:pPr>
        <w:spacing w:after="200" w:line="276" w:lineRule="auto"/>
        <w:rPr>
          <w:rFonts w:ascii="Arial" w:eastAsia="Calibri" w:hAnsi="Arial" w:cs="Arial"/>
          <w:b/>
          <w:u w:val="single"/>
        </w:rPr>
      </w:pPr>
    </w:p>
    <w:p w14:paraId="080DFCCD" w14:textId="77777777" w:rsidR="00DA3787" w:rsidRDefault="00DA3787" w:rsidP="0029691E">
      <w:pPr>
        <w:spacing w:after="200" w:line="276" w:lineRule="auto"/>
        <w:rPr>
          <w:rFonts w:ascii="Arial" w:eastAsia="Calibri" w:hAnsi="Arial" w:cs="Arial"/>
          <w:b/>
          <w:u w:val="single"/>
        </w:rPr>
      </w:pPr>
    </w:p>
    <w:p w14:paraId="60CDAB3E" w14:textId="2EE023BA" w:rsidR="00854C92" w:rsidRDefault="00C77718" w:rsidP="0029691E">
      <w:pPr>
        <w:spacing w:after="200" w:line="276" w:lineRule="auto"/>
        <w:rPr>
          <w:rFonts w:ascii="Arial" w:eastAsia="Calibri" w:hAnsi="Arial" w:cs="Arial"/>
          <w:b/>
          <w:u w:val="single"/>
        </w:rPr>
      </w:pPr>
      <w:r w:rsidRPr="00C77718">
        <w:lastRenderedPageBreak/>
        <w:drawing>
          <wp:inline distT="0" distB="0" distL="0" distR="0" wp14:anchorId="1153DCA4" wp14:editId="6332F4E8">
            <wp:extent cx="5731510" cy="7218045"/>
            <wp:effectExtent l="0" t="0" r="254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7218045"/>
                    </a:xfrm>
                    <a:prstGeom prst="rect">
                      <a:avLst/>
                    </a:prstGeom>
                    <a:noFill/>
                    <a:ln>
                      <a:noFill/>
                    </a:ln>
                  </pic:spPr>
                </pic:pic>
              </a:graphicData>
            </a:graphic>
          </wp:inline>
        </w:drawing>
      </w:r>
    </w:p>
    <w:p w14:paraId="111378DF" w14:textId="77777777" w:rsidR="00854C92" w:rsidRDefault="00854C92" w:rsidP="0029691E">
      <w:pPr>
        <w:spacing w:after="200" w:line="276" w:lineRule="auto"/>
        <w:rPr>
          <w:rFonts w:ascii="Arial" w:eastAsia="Calibri" w:hAnsi="Arial" w:cs="Arial"/>
          <w:b/>
          <w:u w:val="single"/>
        </w:rPr>
      </w:pPr>
    </w:p>
    <w:p w14:paraId="29C852AF" w14:textId="439A49F1" w:rsidR="00665595" w:rsidRPr="00DA3787" w:rsidRDefault="00665595" w:rsidP="00DA3787">
      <w:pPr>
        <w:pStyle w:val="Heading1"/>
        <w:numPr>
          <w:ilvl w:val="0"/>
          <w:numId w:val="2"/>
        </w:numPr>
        <w:tabs>
          <w:tab w:val="left" w:pos="567"/>
        </w:tabs>
        <w:ind w:hanging="924"/>
        <w:rPr>
          <w:rFonts w:cs="Arial"/>
          <w:u w:val="single"/>
        </w:rPr>
      </w:pPr>
      <w:r w:rsidRPr="00DA3787">
        <w:rPr>
          <w:rFonts w:cs="Arial"/>
          <w:u w:val="single"/>
        </w:rPr>
        <w:t>Review of Reserves</w:t>
      </w:r>
    </w:p>
    <w:p w14:paraId="3DBECD61" w14:textId="285B42B6" w:rsidR="00324C40" w:rsidRDefault="00324C40" w:rsidP="00DA3787">
      <w:pPr>
        <w:pStyle w:val="ListParagraph"/>
        <w:numPr>
          <w:ilvl w:val="1"/>
          <w:numId w:val="2"/>
        </w:numPr>
        <w:tabs>
          <w:tab w:val="left" w:pos="567"/>
        </w:tabs>
        <w:ind w:left="567" w:hanging="567"/>
        <w:jc w:val="both"/>
        <w:rPr>
          <w:rFonts w:ascii="Arial" w:eastAsia="Calibri" w:hAnsi="Arial" w:cs="Arial"/>
          <w:sz w:val="24"/>
          <w:szCs w:val="24"/>
        </w:rPr>
      </w:pPr>
      <w:r w:rsidRPr="00D67264">
        <w:rPr>
          <w:rFonts w:ascii="Arial" w:eastAsia="Calibri" w:hAnsi="Arial" w:cs="Arial"/>
          <w:sz w:val="24"/>
          <w:szCs w:val="24"/>
        </w:rPr>
        <w:t>The Authority’s reserves will be reviewed as part of the following processes:</w:t>
      </w:r>
    </w:p>
    <w:p w14:paraId="501AFB4F" w14:textId="77777777" w:rsidR="00DA3787" w:rsidRDefault="00DA3787" w:rsidP="00DA3787">
      <w:pPr>
        <w:pStyle w:val="ListParagraph"/>
        <w:tabs>
          <w:tab w:val="left" w:pos="567"/>
        </w:tabs>
        <w:ind w:left="567"/>
        <w:jc w:val="both"/>
        <w:rPr>
          <w:rFonts w:ascii="Arial" w:eastAsia="Calibri" w:hAnsi="Arial" w:cs="Arial"/>
          <w:sz w:val="24"/>
          <w:szCs w:val="24"/>
        </w:rPr>
      </w:pPr>
    </w:p>
    <w:p w14:paraId="03DDC18A" w14:textId="2ADF4AB2" w:rsidR="00324C40" w:rsidRDefault="00324C40" w:rsidP="00DA3787">
      <w:pPr>
        <w:pStyle w:val="ListParagraph"/>
        <w:numPr>
          <w:ilvl w:val="0"/>
          <w:numId w:val="3"/>
        </w:numPr>
        <w:ind w:hanging="513"/>
        <w:jc w:val="both"/>
        <w:rPr>
          <w:rFonts w:ascii="Arial" w:hAnsi="Arial" w:cs="Arial"/>
          <w:sz w:val="24"/>
          <w:szCs w:val="24"/>
        </w:rPr>
      </w:pPr>
      <w:r w:rsidRPr="00D67264">
        <w:rPr>
          <w:rFonts w:ascii="Arial" w:eastAsia="Calibri" w:hAnsi="Arial" w:cs="Arial"/>
          <w:sz w:val="24"/>
          <w:szCs w:val="24"/>
        </w:rPr>
        <w:t xml:space="preserve">The </w:t>
      </w:r>
      <w:r w:rsidRPr="00DA3787">
        <w:rPr>
          <w:rFonts w:ascii="Arial" w:hAnsi="Arial" w:cs="Arial"/>
          <w:sz w:val="24"/>
          <w:szCs w:val="24"/>
        </w:rPr>
        <w:t xml:space="preserve">reserves will form part of the budget setting process and the level and use of reserves will be considered when setting the annual budget and </w:t>
      </w:r>
      <w:proofErr w:type="gramStart"/>
      <w:r w:rsidRPr="00DA3787">
        <w:rPr>
          <w:rFonts w:ascii="Arial" w:hAnsi="Arial" w:cs="Arial"/>
          <w:sz w:val="24"/>
          <w:szCs w:val="24"/>
        </w:rPr>
        <w:lastRenderedPageBreak/>
        <w:t>Medium Term</w:t>
      </w:r>
      <w:proofErr w:type="gramEnd"/>
      <w:r w:rsidRPr="00DA3787">
        <w:rPr>
          <w:rFonts w:ascii="Arial" w:hAnsi="Arial" w:cs="Arial"/>
          <w:sz w:val="24"/>
          <w:szCs w:val="24"/>
        </w:rPr>
        <w:t xml:space="preserve"> Financial Plan. This will include the approval at Full Authority Committee</w:t>
      </w:r>
      <w:r w:rsidR="00BD36F5" w:rsidRPr="00DA3787">
        <w:rPr>
          <w:rFonts w:ascii="Arial" w:hAnsi="Arial" w:cs="Arial"/>
          <w:sz w:val="24"/>
          <w:szCs w:val="24"/>
        </w:rPr>
        <w:t>.</w:t>
      </w:r>
    </w:p>
    <w:p w14:paraId="1B9DFDED" w14:textId="77777777" w:rsidR="00C77718" w:rsidRPr="00DA3787" w:rsidRDefault="00C77718" w:rsidP="00C77718">
      <w:pPr>
        <w:pStyle w:val="ListParagraph"/>
        <w:ind w:left="1080"/>
        <w:jc w:val="both"/>
        <w:rPr>
          <w:rFonts w:ascii="Arial" w:hAnsi="Arial" w:cs="Arial"/>
          <w:sz w:val="24"/>
          <w:szCs w:val="24"/>
        </w:rPr>
      </w:pPr>
    </w:p>
    <w:p w14:paraId="1F7278E6" w14:textId="11585917" w:rsidR="004C233E" w:rsidRDefault="004C233E" w:rsidP="00DA3787">
      <w:pPr>
        <w:pStyle w:val="ListParagraph"/>
        <w:numPr>
          <w:ilvl w:val="0"/>
          <w:numId w:val="3"/>
        </w:numPr>
        <w:ind w:hanging="513"/>
        <w:jc w:val="both"/>
        <w:rPr>
          <w:rFonts w:ascii="Arial" w:hAnsi="Arial" w:cs="Arial"/>
          <w:sz w:val="24"/>
          <w:szCs w:val="24"/>
        </w:rPr>
      </w:pPr>
      <w:r w:rsidRPr="00D67264">
        <w:rPr>
          <w:rFonts w:ascii="Arial" w:hAnsi="Arial" w:cs="Arial"/>
          <w:sz w:val="24"/>
          <w:szCs w:val="24"/>
        </w:rPr>
        <w:t>The Reserves Strategy will be reviewed annually by the Finance and Resources Committee in October</w:t>
      </w:r>
      <w:r w:rsidR="004E5C09">
        <w:rPr>
          <w:rFonts w:ascii="Arial" w:hAnsi="Arial" w:cs="Arial"/>
          <w:sz w:val="24"/>
          <w:szCs w:val="24"/>
        </w:rPr>
        <w:t>.</w:t>
      </w:r>
    </w:p>
    <w:p w14:paraId="677203FA" w14:textId="77777777" w:rsidR="00C77718" w:rsidRPr="00C77718" w:rsidRDefault="00C77718" w:rsidP="00C77718">
      <w:pPr>
        <w:pStyle w:val="ListParagraph"/>
        <w:rPr>
          <w:rFonts w:ascii="Arial" w:hAnsi="Arial" w:cs="Arial"/>
          <w:sz w:val="24"/>
          <w:szCs w:val="24"/>
        </w:rPr>
      </w:pPr>
    </w:p>
    <w:p w14:paraId="4AA1566F" w14:textId="66BF65CF" w:rsidR="00324C40" w:rsidRDefault="00324C40" w:rsidP="00DA3787">
      <w:pPr>
        <w:pStyle w:val="ListParagraph"/>
        <w:numPr>
          <w:ilvl w:val="0"/>
          <w:numId w:val="3"/>
        </w:numPr>
        <w:ind w:hanging="513"/>
        <w:jc w:val="both"/>
        <w:rPr>
          <w:rFonts w:ascii="Arial" w:hAnsi="Arial" w:cs="Arial"/>
          <w:sz w:val="24"/>
          <w:szCs w:val="24"/>
        </w:rPr>
      </w:pPr>
      <w:r w:rsidRPr="00DA3787">
        <w:rPr>
          <w:rFonts w:ascii="Arial" w:hAnsi="Arial" w:cs="Arial"/>
          <w:sz w:val="24"/>
          <w:szCs w:val="24"/>
        </w:rPr>
        <w:t>Reserves are reviewed and externally audited during the closure of the Authority’s accounts and are included in the Statement of Accounts. There is a statutory requirement to detail the movement between reserves during the year and show the opening and closing position in the Movement in Reserves Statement and the Expenditure and Funding Analysis</w:t>
      </w:r>
      <w:r w:rsidR="00BD36F5" w:rsidRPr="00DA3787">
        <w:rPr>
          <w:rFonts w:ascii="Arial" w:hAnsi="Arial" w:cs="Arial"/>
          <w:sz w:val="24"/>
          <w:szCs w:val="24"/>
        </w:rPr>
        <w:t>. The Statement of Accounts is approved at the Authority’s audit committee.</w:t>
      </w:r>
    </w:p>
    <w:p w14:paraId="5EEB095A" w14:textId="77777777" w:rsidR="00C77718" w:rsidRPr="00C77718" w:rsidRDefault="00C77718" w:rsidP="00C77718">
      <w:pPr>
        <w:pStyle w:val="ListParagraph"/>
        <w:rPr>
          <w:rFonts w:ascii="Arial" w:hAnsi="Arial" w:cs="Arial"/>
          <w:sz w:val="24"/>
          <w:szCs w:val="24"/>
        </w:rPr>
      </w:pPr>
    </w:p>
    <w:p w14:paraId="5C6DC977" w14:textId="78851050" w:rsidR="00324C40" w:rsidRPr="00702695" w:rsidRDefault="00324C40" w:rsidP="00DA3787">
      <w:pPr>
        <w:pStyle w:val="ListParagraph"/>
        <w:numPr>
          <w:ilvl w:val="0"/>
          <w:numId w:val="3"/>
        </w:numPr>
        <w:ind w:hanging="513"/>
        <w:jc w:val="both"/>
        <w:rPr>
          <w:rFonts w:ascii="Arial" w:eastAsia="Calibri" w:hAnsi="Arial" w:cs="Arial"/>
        </w:rPr>
      </w:pPr>
      <w:r w:rsidRPr="00DA3787">
        <w:rPr>
          <w:rFonts w:ascii="Arial" w:hAnsi="Arial" w:cs="Arial"/>
          <w:sz w:val="24"/>
          <w:szCs w:val="24"/>
        </w:rPr>
        <w:t>The minimum level of General Fund Reserves will be assessed during the year by the financial appraisal of risks on the Authority’s risk register. The Risk Management Strategy Group which meets quarterly whose aim is to manage the register and identify and assess risks. This group is chaired by the Deputy Chief Fire Officer</w:t>
      </w:r>
      <w:r w:rsidR="00BD36F5" w:rsidRPr="00DA3787">
        <w:rPr>
          <w:rFonts w:ascii="Arial" w:hAnsi="Arial" w:cs="Arial"/>
          <w:sz w:val="24"/>
          <w:szCs w:val="24"/>
        </w:rPr>
        <w:t xml:space="preserve"> and is attended by internal audit, </w:t>
      </w:r>
      <w:r w:rsidR="00BD36F5" w:rsidRPr="00D67264">
        <w:rPr>
          <w:rFonts w:ascii="Arial" w:eastAsia="Calibri" w:hAnsi="Arial" w:cs="Arial"/>
          <w:sz w:val="24"/>
          <w:szCs w:val="24"/>
        </w:rPr>
        <w:t>a member champion and those responsible for the key risks within the organisation</w:t>
      </w:r>
      <w:r w:rsidR="00BD36F5" w:rsidRPr="00702695">
        <w:rPr>
          <w:rFonts w:ascii="Arial" w:eastAsia="Calibri" w:hAnsi="Arial" w:cs="Arial"/>
        </w:rPr>
        <w:t>.</w:t>
      </w:r>
    </w:p>
    <w:p w14:paraId="79FEB699" w14:textId="77777777" w:rsidR="00BD36F5" w:rsidRPr="00702695" w:rsidRDefault="00BD36F5" w:rsidP="00BD36F5">
      <w:pPr>
        <w:pStyle w:val="ListParagraph"/>
        <w:rPr>
          <w:rFonts w:ascii="Arial" w:eastAsia="Calibri" w:hAnsi="Arial" w:cs="Arial"/>
        </w:rPr>
      </w:pPr>
    </w:p>
    <w:p w14:paraId="5C2778A1" w14:textId="2840E3A3" w:rsidR="00BD36F5" w:rsidRPr="00BD36F5" w:rsidRDefault="00BD36F5" w:rsidP="00BD36F5">
      <w:pPr>
        <w:spacing w:after="200" w:line="276" w:lineRule="auto"/>
        <w:rPr>
          <w:rFonts w:ascii="Calibri" w:eastAsia="Calibri" w:hAnsi="Calibri" w:cs="Times New Roman"/>
        </w:rPr>
      </w:pPr>
    </w:p>
    <w:p w14:paraId="633592FC" w14:textId="429F535B" w:rsidR="0029691E" w:rsidRDefault="0029691E" w:rsidP="0029691E"/>
    <w:p w14:paraId="754DAA1D" w14:textId="77777777" w:rsidR="0029691E" w:rsidRDefault="0029691E" w:rsidP="0029691E"/>
    <w:p w14:paraId="7DB3DBB7" w14:textId="750D0119" w:rsidR="00AD62FB" w:rsidRDefault="00AD62FB" w:rsidP="00AD62FB"/>
    <w:p w14:paraId="0EF0207C" w14:textId="77777777" w:rsidR="00AD62FB" w:rsidRDefault="00AD62FB" w:rsidP="00AD62FB"/>
    <w:sectPr w:rsidR="00AD62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126DA"/>
    <w:multiLevelType w:val="multilevel"/>
    <w:tmpl w:val="BC8A72DC"/>
    <w:lvl w:ilvl="0">
      <w:start w:val="1"/>
      <w:numFmt w:val="decimal"/>
      <w:lvlText w:val="%1"/>
      <w:lvlJc w:val="left"/>
      <w:pPr>
        <w:ind w:left="924" w:hanging="564"/>
      </w:pPr>
      <w:rPr>
        <w:rFonts w:hint="default"/>
        <w:b/>
        <w:bCs w:val="0"/>
        <w:sz w:val="28"/>
        <w:szCs w:val="28"/>
        <w:u w:val="none"/>
      </w:rPr>
    </w:lvl>
    <w:lvl w:ilvl="1">
      <w:start w:val="1"/>
      <w:numFmt w:val="decimal"/>
      <w:isLgl/>
      <w:lvlText w:val="%1.%2"/>
      <w:lvlJc w:val="left"/>
      <w:pPr>
        <w:ind w:left="564" w:hanging="564"/>
      </w:pPr>
      <w:rPr>
        <w:rFonts w:ascii="Arial" w:hAnsi="Arial" w:cs="Arial" w:hint="default"/>
        <w:b w:val="0"/>
        <w:bCs/>
        <w:sz w:val="24"/>
        <w:szCs w:val="24"/>
      </w:rPr>
    </w:lvl>
    <w:lvl w:ilvl="2">
      <w:start w:val="1"/>
      <w:numFmt w:val="decimal"/>
      <w:isLgl/>
      <w:lvlText w:val="%1.%2.%3"/>
      <w:lvlJc w:val="left"/>
      <w:pPr>
        <w:ind w:left="1080" w:hanging="720"/>
      </w:pPr>
      <w:rPr>
        <w:rFonts w:asciiTheme="minorHAnsi" w:hAnsiTheme="minorHAnsi" w:cstheme="minorBidi" w:hint="default"/>
        <w:sz w:val="22"/>
      </w:rPr>
    </w:lvl>
    <w:lvl w:ilvl="3">
      <w:start w:val="1"/>
      <w:numFmt w:val="decimal"/>
      <w:isLgl/>
      <w:lvlText w:val="%1.%2.%3.%4"/>
      <w:lvlJc w:val="left"/>
      <w:pPr>
        <w:ind w:left="1440" w:hanging="1080"/>
      </w:pPr>
      <w:rPr>
        <w:rFonts w:asciiTheme="minorHAnsi" w:hAnsiTheme="minorHAnsi" w:cstheme="minorBidi" w:hint="default"/>
        <w:sz w:val="22"/>
      </w:rPr>
    </w:lvl>
    <w:lvl w:ilvl="4">
      <w:start w:val="1"/>
      <w:numFmt w:val="decimal"/>
      <w:isLgl/>
      <w:lvlText w:val="%1.%2.%3.%4.%5"/>
      <w:lvlJc w:val="left"/>
      <w:pPr>
        <w:ind w:left="1440" w:hanging="1080"/>
      </w:pPr>
      <w:rPr>
        <w:rFonts w:asciiTheme="minorHAnsi" w:hAnsiTheme="minorHAnsi" w:cstheme="minorBidi" w:hint="default"/>
        <w:sz w:val="22"/>
      </w:rPr>
    </w:lvl>
    <w:lvl w:ilvl="5">
      <w:start w:val="1"/>
      <w:numFmt w:val="decimal"/>
      <w:isLgl/>
      <w:lvlText w:val="%1.%2.%3.%4.%5.%6"/>
      <w:lvlJc w:val="left"/>
      <w:pPr>
        <w:ind w:left="1800" w:hanging="1440"/>
      </w:pPr>
      <w:rPr>
        <w:rFonts w:asciiTheme="minorHAnsi" w:hAnsiTheme="minorHAnsi" w:cstheme="minorBidi" w:hint="default"/>
        <w:sz w:val="22"/>
      </w:rPr>
    </w:lvl>
    <w:lvl w:ilvl="6">
      <w:start w:val="1"/>
      <w:numFmt w:val="decimal"/>
      <w:isLgl/>
      <w:lvlText w:val="%1.%2.%3.%4.%5.%6.%7"/>
      <w:lvlJc w:val="left"/>
      <w:pPr>
        <w:ind w:left="1800" w:hanging="1440"/>
      </w:pPr>
      <w:rPr>
        <w:rFonts w:asciiTheme="minorHAnsi" w:hAnsiTheme="minorHAnsi" w:cstheme="minorBidi" w:hint="default"/>
        <w:sz w:val="22"/>
      </w:rPr>
    </w:lvl>
    <w:lvl w:ilvl="7">
      <w:start w:val="1"/>
      <w:numFmt w:val="decimal"/>
      <w:isLgl/>
      <w:lvlText w:val="%1.%2.%3.%4.%5.%6.%7.%8"/>
      <w:lvlJc w:val="left"/>
      <w:pPr>
        <w:ind w:left="2160" w:hanging="1800"/>
      </w:pPr>
      <w:rPr>
        <w:rFonts w:asciiTheme="minorHAnsi" w:hAnsiTheme="minorHAnsi" w:cstheme="minorBidi" w:hint="default"/>
        <w:sz w:val="22"/>
      </w:rPr>
    </w:lvl>
    <w:lvl w:ilvl="8">
      <w:start w:val="1"/>
      <w:numFmt w:val="decimal"/>
      <w:isLgl/>
      <w:lvlText w:val="%1.%2.%3.%4.%5.%6.%7.%8.%9"/>
      <w:lvlJc w:val="left"/>
      <w:pPr>
        <w:ind w:left="2160" w:hanging="1800"/>
      </w:pPr>
      <w:rPr>
        <w:rFonts w:asciiTheme="minorHAnsi" w:hAnsiTheme="minorHAnsi" w:cstheme="minorBidi" w:hint="default"/>
        <w:sz w:val="22"/>
      </w:rPr>
    </w:lvl>
  </w:abstractNum>
  <w:abstractNum w:abstractNumId="1" w15:restartNumberingAfterBreak="0">
    <w:nsid w:val="6BA73075"/>
    <w:multiLevelType w:val="hybridMultilevel"/>
    <w:tmpl w:val="662E7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8005895"/>
    <w:multiLevelType w:val="hybridMultilevel"/>
    <w:tmpl w:val="08E6CD3C"/>
    <w:lvl w:ilvl="0" w:tplc="37C2802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584090">
    <w:abstractNumId w:val="2"/>
  </w:num>
  <w:num w:numId="2" w16cid:durableId="1372997122">
    <w:abstractNumId w:val="0"/>
  </w:num>
  <w:num w:numId="3" w16cid:durableId="369377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A1D"/>
    <w:rsid w:val="00025D7A"/>
    <w:rsid w:val="0004399A"/>
    <w:rsid w:val="0009072A"/>
    <w:rsid w:val="00097703"/>
    <w:rsid w:val="000B3D3C"/>
    <w:rsid w:val="000F3265"/>
    <w:rsid w:val="000F7AB9"/>
    <w:rsid w:val="00167AA5"/>
    <w:rsid w:val="001868D9"/>
    <w:rsid w:val="00190C68"/>
    <w:rsid w:val="001B1F64"/>
    <w:rsid w:val="001D43D3"/>
    <w:rsid w:val="0020156D"/>
    <w:rsid w:val="00227886"/>
    <w:rsid w:val="002279E3"/>
    <w:rsid w:val="00264F40"/>
    <w:rsid w:val="0029691E"/>
    <w:rsid w:val="002A3B03"/>
    <w:rsid w:val="00306EAF"/>
    <w:rsid w:val="00324C40"/>
    <w:rsid w:val="00353046"/>
    <w:rsid w:val="00384C57"/>
    <w:rsid w:val="00394201"/>
    <w:rsid w:val="00395000"/>
    <w:rsid w:val="003A6541"/>
    <w:rsid w:val="003E2423"/>
    <w:rsid w:val="003E33A4"/>
    <w:rsid w:val="003F63AA"/>
    <w:rsid w:val="004054E4"/>
    <w:rsid w:val="00424D60"/>
    <w:rsid w:val="004316F7"/>
    <w:rsid w:val="00432A67"/>
    <w:rsid w:val="00432B5D"/>
    <w:rsid w:val="0043739E"/>
    <w:rsid w:val="004556F3"/>
    <w:rsid w:val="00467F9D"/>
    <w:rsid w:val="00483BE2"/>
    <w:rsid w:val="00492A1D"/>
    <w:rsid w:val="004A18D5"/>
    <w:rsid w:val="004A7864"/>
    <w:rsid w:val="004C233E"/>
    <w:rsid w:val="004D1D28"/>
    <w:rsid w:val="004E5C09"/>
    <w:rsid w:val="00557323"/>
    <w:rsid w:val="00572D17"/>
    <w:rsid w:val="00573E7A"/>
    <w:rsid w:val="005D7F0B"/>
    <w:rsid w:val="00603295"/>
    <w:rsid w:val="006228E2"/>
    <w:rsid w:val="00641B36"/>
    <w:rsid w:val="00642019"/>
    <w:rsid w:val="00665595"/>
    <w:rsid w:val="006B0CE8"/>
    <w:rsid w:val="006C2CFB"/>
    <w:rsid w:val="006D3C63"/>
    <w:rsid w:val="00702695"/>
    <w:rsid w:val="007327B1"/>
    <w:rsid w:val="0076173C"/>
    <w:rsid w:val="007665ED"/>
    <w:rsid w:val="007839C0"/>
    <w:rsid w:val="007A6F6B"/>
    <w:rsid w:val="007C03C5"/>
    <w:rsid w:val="007D0387"/>
    <w:rsid w:val="00854C92"/>
    <w:rsid w:val="00883270"/>
    <w:rsid w:val="008A0BF3"/>
    <w:rsid w:val="009124BB"/>
    <w:rsid w:val="00972AB9"/>
    <w:rsid w:val="009B7830"/>
    <w:rsid w:val="009E5BA4"/>
    <w:rsid w:val="009E6117"/>
    <w:rsid w:val="00A50D8C"/>
    <w:rsid w:val="00A611B4"/>
    <w:rsid w:val="00AB481F"/>
    <w:rsid w:val="00AD2767"/>
    <w:rsid w:val="00AD62FB"/>
    <w:rsid w:val="00B109FA"/>
    <w:rsid w:val="00B2597B"/>
    <w:rsid w:val="00BA3BEE"/>
    <w:rsid w:val="00BB3D9D"/>
    <w:rsid w:val="00BC2E2A"/>
    <w:rsid w:val="00BD36F5"/>
    <w:rsid w:val="00C20E45"/>
    <w:rsid w:val="00C7453B"/>
    <w:rsid w:val="00C7690C"/>
    <w:rsid w:val="00C77718"/>
    <w:rsid w:val="00CD7934"/>
    <w:rsid w:val="00D328FE"/>
    <w:rsid w:val="00D43963"/>
    <w:rsid w:val="00D67264"/>
    <w:rsid w:val="00D7129A"/>
    <w:rsid w:val="00D76DAD"/>
    <w:rsid w:val="00DA3787"/>
    <w:rsid w:val="00DA4104"/>
    <w:rsid w:val="00DB18C1"/>
    <w:rsid w:val="00DB70F8"/>
    <w:rsid w:val="00DC7E07"/>
    <w:rsid w:val="00DD35B2"/>
    <w:rsid w:val="00E0439B"/>
    <w:rsid w:val="00E17648"/>
    <w:rsid w:val="00E54A06"/>
    <w:rsid w:val="00E80582"/>
    <w:rsid w:val="00EB7862"/>
    <w:rsid w:val="00EC0298"/>
    <w:rsid w:val="00EC31EF"/>
    <w:rsid w:val="00EC4E20"/>
    <w:rsid w:val="00ED74AE"/>
    <w:rsid w:val="00F01ADE"/>
    <w:rsid w:val="00F55C9C"/>
    <w:rsid w:val="00F66916"/>
    <w:rsid w:val="00F678DE"/>
    <w:rsid w:val="00F85581"/>
    <w:rsid w:val="00FA1E5D"/>
    <w:rsid w:val="00FA7A5E"/>
    <w:rsid w:val="00FD29ED"/>
    <w:rsid w:val="00FD7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6F52"/>
  <w15:chartTrackingRefBased/>
  <w15:docId w15:val="{75EF6446-3271-4E8C-94B2-83DD71A1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9124BB"/>
    <w:pPr>
      <w:keepNext/>
      <w:keepLines/>
      <w:spacing w:before="220" w:after="220" w:line="240" w:lineRule="auto"/>
      <w:ind w:left="1134" w:hanging="1134"/>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A1D"/>
    <w:pPr>
      <w:ind w:left="720"/>
      <w:contextualSpacing/>
    </w:pPr>
  </w:style>
  <w:style w:type="table" w:customStyle="1" w:styleId="TableGrid1">
    <w:name w:val="Table Grid1"/>
    <w:basedOn w:val="TableNormal"/>
    <w:next w:val="TableGrid"/>
    <w:uiPriority w:val="59"/>
    <w:rsid w:val="00296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96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42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201"/>
    <w:rPr>
      <w:rFonts w:ascii="Segoe UI" w:hAnsi="Segoe UI" w:cs="Segoe UI"/>
      <w:sz w:val="18"/>
      <w:szCs w:val="18"/>
    </w:rPr>
  </w:style>
  <w:style w:type="character" w:customStyle="1" w:styleId="Heading1Char">
    <w:name w:val="Heading 1 Char"/>
    <w:basedOn w:val="DefaultParagraphFont"/>
    <w:link w:val="Heading1"/>
    <w:uiPriority w:val="9"/>
    <w:rsid w:val="009124BB"/>
    <w:rPr>
      <w:rFonts w:ascii="Arial" w:eastAsiaTheme="majorEastAsia" w:hAnsi="Arial"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653">
      <w:bodyDiv w:val="1"/>
      <w:marLeft w:val="0"/>
      <w:marRight w:val="0"/>
      <w:marTop w:val="0"/>
      <w:marBottom w:val="0"/>
      <w:divBdr>
        <w:top w:val="none" w:sz="0" w:space="0" w:color="auto"/>
        <w:left w:val="none" w:sz="0" w:space="0" w:color="auto"/>
        <w:bottom w:val="none" w:sz="0" w:space="0" w:color="auto"/>
        <w:right w:val="none" w:sz="0" w:space="0" w:color="auto"/>
      </w:divBdr>
    </w:div>
    <w:div w:id="128279947">
      <w:bodyDiv w:val="1"/>
      <w:marLeft w:val="0"/>
      <w:marRight w:val="0"/>
      <w:marTop w:val="0"/>
      <w:marBottom w:val="0"/>
      <w:divBdr>
        <w:top w:val="none" w:sz="0" w:space="0" w:color="auto"/>
        <w:left w:val="none" w:sz="0" w:space="0" w:color="auto"/>
        <w:bottom w:val="none" w:sz="0" w:space="0" w:color="auto"/>
        <w:right w:val="none" w:sz="0" w:space="0" w:color="auto"/>
      </w:divBdr>
    </w:div>
    <w:div w:id="314341112">
      <w:bodyDiv w:val="1"/>
      <w:marLeft w:val="0"/>
      <w:marRight w:val="0"/>
      <w:marTop w:val="0"/>
      <w:marBottom w:val="0"/>
      <w:divBdr>
        <w:top w:val="none" w:sz="0" w:space="0" w:color="auto"/>
        <w:left w:val="none" w:sz="0" w:space="0" w:color="auto"/>
        <w:bottom w:val="none" w:sz="0" w:space="0" w:color="auto"/>
        <w:right w:val="none" w:sz="0" w:space="0" w:color="auto"/>
      </w:divBdr>
    </w:div>
    <w:div w:id="357436773">
      <w:bodyDiv w:val="1"/>
      <w:marLeft w:val="0"/>
      <w:marRight w:val="0"/>
      <w:marTop w:val="0"/>
      <w:marBottom w:val="0"/>
      <w:divBdr>
        <w:top w:val="none" w:sz="0" w:space="0" w:color="auto"/>
        <w:left w:val="none" w:sz="0" w:space="0" w:color="auto"/>
        <w:bottom w:val="none" w:sz="0" w:space="0" w:color="auto"/>
        <w:right w:val="none" w:sz="0" w:space="0" w:color="auto"/>
      </w:divBdr>
    </w:div>
    <w:div w:id="358166420">
      <w:bodyDiv w:val="1"/>
      <w:marLeft w:val="0"/>
      <w:marRight w:val="0"/>
      <w:marTop w:val="0"/>
      <w:marBottom w:val="0"/>
      <w:divBdr>
        <w:top w:val="none" w:sz="0" w:space="0" w:color="auto"/>
        <w:left w:val="none" w:sz="0" w:space="0" w:color="auto"/>
        <w:bottom w:val="none" w:sz="0" w:space="0" w:color="auto"/>
        <w:right w:val="none" w:sz="0" w:space="0" w:color="auto"/>
      </w:divBdr>
    </w:div>
    <w:div w:id="465054565">
      <w:bodyDiv w:val="1"/>
      <w:marLeft w:val="0"/>
      <w:marRight w:val="0"/>
      <w:marTop w:val="0"/>
      <w:marBottom w:val="0"/>
      <w:divBdr>
        <w:top w:val="none" w:sz="0" w:space="0" w:color="auto"/>
        <w:left w:val="none" w:sz="0" w:space="0" w:color="auto"/>
        <w:bottom w:val="none" w:sz="0" w:space="0" w:color="auto"/>
        <w:right w:val="none" w:sz="0" w:space="0" w:color="auto"/>
      </w:divBdr>
    </w:div>
    <w:div w:id="502552876">
      <w:bodyDiv w:val="1"/>
      <w:marLeft w:val="0"/>
      <w:marRight w:val="0"/>
      <w:marTop w:val="0"/>
      <w:marBottom w:val="0"/>
      <w:divBdr>
        <w:top w:val="none" w:sz="0" w:space="0" w:color="auto"/>
        <w:left w:val="none" w:sz="0" w:space="0" w:color="auto"/>
        <w:bottom w:val="none" w:sz="0" w:space="0" w:color="auto"/>
        <w:right w:val="none" w:sz="0" w:space="0" w:color="auto"/>
      </w:divBdr>
    </w:div>
    <w:div w:id="578632487">
      <w:bodyDiv w:val="1"/>
      <w:marLeft w:val="0"/>
      <w:marRight w:val="0"/>
      <w:marTop w:val="0"/>
      <w:marBottom w:val="0"/>
      <w:divBdr>
        <w:top w:val="none" w:sz="0" w:space="0" w:color="auto"/>
        <w:left w:val="none" w:sz="0" w:space="0" w:color="auto"/>
        <w:bottom w:val="none" w:sz="0" w:space="0" w:color="auto"/>
        <w:right w:val="none" w:sz="0" w:space="0" w:color="auto"/>
      </w:divBdr>
    </w:div>
    <w:div w:id="1036853281">
      <w:bodyDiv w:val="1"/>
      <w:marLeft w:val="0"/>
      <w:marRight w:val="0"/>
      <w:marTop w:val="0"/>
      <w:marBottom w:val="0"/>
      <w:divBdr>
        <w:top w:val="none" w:sz="0" w:space="0" w:color="auto"/>
        <w:left w:val="none" w:sz="0" w:space="0" w:color="auto"/>
        <w:bottom w:val="none" w:sz="0" w:space="0" w:color="auto"/>
        <w:right w:val="none" w:sz="0" w:space="0" w:color="auto"/>
      </w:divBdr>
    </w:div>
    <w:div w:id="1043292930">
      <w:bodyDiv w:val="1"/>
      <w:marLeft w:val="0"/>
      <w:marRight w:val="0"/>
      <w:marTop w:val="0"/>
      <w:marBottom w:val="0"/>
      <w:divBdr>
        <w:top w:val="none" w:sz="0" w:space="0" w:color="auto"/>
        <w:left w:val="none" w:sz="0" w:space="0" w:color="auto"/>
        <w:bottom w:val="none" w:sz="0" w:space="0" w:color="auto"/>
        <w:right w:val="none" w:sz="0" w:space="0" w:color="auto"/>
      </w:divBdr>
    </w:div>
    <w:div w:id="1093822098">
      <w:bodyDiv w:val="1"/>
      <w:marLeft w:val="0"/>
      <w:marRight w:val="0"/>
      <w:marTop w:val="0"/>
      <w:marBottom w:val="0"/>
      <w:divBdr>
        <w:top w:val="none" w:sz="0" w:space="0" w:color="auto"/>
        <w:left w:val="none" w:sz="0" w:space="0" w:color="auto"/>
        <w:bottom w:val="none" w:sz="0" w:space="0" w:color="auto"/>
        <w:right w:val="none" w:sz="0" w:space="0" w:color="auto"/>
      </w:divBdr>
    </w:div>
    <w:div w:id="1472752805">
      <w:bodyDiv w:val="1"/>
      <w:marLeft w:val="0"/>
      <w:marRight w:val="0"/>
      <w:marTop w:val="0"/>
      <w:marBottom w:val="0"/>
      <w:divBdr>
        <w:top w:val="none" w:sz="0" w:space="0" w:color="auto"/>
        <w:left w:val="none" w:sz="0" w:space="0" w:color="auto"/>
        <w:bottom w:val="none" w:sz="0" w:space="0" w:color="auto"/>
        <w:right w:val="none" w:sz="0" w:space="0" w:color="auto"/>
      </w:divBdr>
    </w:div>
    <w:div w:id="1821924614">
      <w:bodyDiv w:val="1"/>
      <w:marLeft w:val="0"/>
      <w:marRight w:val="0"/>
      <w:marTop w:val="0"/>
      <w:marBottom w:val="0"/>
      <w:divBdr>
        <w:top w:val="none" w:sz="0" w:space="0" w:color="auto"/>
        <w:left w:val="none" w:sz="0" w:space="0" w:color="auto"/>
        <w:bottom w:val="none" w:sz="0" w:space="0" w:color="auto"/>
        <w:right w:val="none" w:sz="0" w:space="0" w:color="auto"/>
      </w:divBdr>
    </w:div>
    <w:div w:id="2007399920">
      <w:bodyDiv w:val="1"/>
      <w:marLeft w:val="0"/>
      <w:marRight w:val="0"/>
      <w:marTop w:val="0"/>
      <w:marBottom w:val="0"/>
      <w:divBdr>
        <w:top w:val="none" w:sz="0" w:space="0" w:color="auto"/>
        <w:left w:val="none" w:sz="0" w:space="0" w:color="auto"/>
        <w:bottom w:val="none" w:sz="0" w:space="0" w:color="auto"/>
        <w:right w:val="none" w:sz="0" w:space="0" w:color="auto"/>
      </w:divBdr>
    </w:div>
    <w:div w:id="207716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emf"/><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1d8a9874-af09-4d17-a159-f75b55fd6699" xsi:nil="true"/>
    <_dlc_DocId xmlns="1d8a9874-af09-4d17-a159-f75b55fd6699">IT74F4A52UY-931220217-3552</_dlc_DocId>
    <_dlc_DocIdUrl xmlns="1d8a9874-af09-4d17-a159-f75b55fd6699">
      <Url>http://wyfirespace.westyorksfire.gov.uk/teams/committeeservices/_layouts/DocIdRedir.aspx?ID=IT74F4A52UY-931220217-3552</Url>
      <Description>IT74F4A52UY-931220217-3552</Description>
    </_dlc_DocIdUrl>
    <d2c428c620de47619da1a5fd7ee15f3a xmlns="939dd2ad-0b25-4427-9dc6-eb0d427f4138">
      <Terms xmlns="http://schemas.microsoft.com/office/infopath/2007/PartnerControls"/>
    </d2c428c620de47619da1a5fd7ee15f3a>
    <TaxCatchAll xmlns="1d8a9874-af09-4d17-a159-f75b55fd66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BD632E64AFCB4A9C942C965D89CB2A" ma:contentTypeVersion="122" ma:contentTypeDescription="Create a new document." ma:contentTypeScope="" ma:versionID="e7a4db120821f6b1aac42f799b0eb2e1">
  <xsd:schema xmlns:xsd="http://www.w3.org/2001/XMLSchema" xmlns:xs="http://www.w3.org/2001/XMLSchema" xmlns:p="http://schemas.microsoft.com/office/2006/metadata/properties" xmlns:ns2="939dd2ad-0b25-4427-9dc6-eb0d427f4138" xmlns:ns3="1d8a9874-af09-4d17-a159-f75b55fd6699" targetNamespace="http://schemas.microsoft.com/office/2006/metadata/properties" ma:root="true" ma:fieldsID="a9c4c9c9c01707d637e282469eff7663" ns2:_="" ns3:_="">
    <xsd:import namespace="939dd2ad-0b25-4427-9dc6-eb0d427f4138"/>
    <xsd:import namespace="1d8a9874-af09-4d17-a159-f75b55fd6699"/>
    <xsd:element name="properties">
      <xsd:complexType>
        <xsd:sequence>
          <xsd:element name="documentManagement">
            <xsd:complexType>
              <xsd:all>
                <xsd:element ref="ns3:TaxCatchAll" minOccurs="0"/>
                <xsd:element ref="ns2:d2c428c620de47619da1a5fd7ee15f3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dd2ad-0b25-4427-9dc6-eb0d427f4138" elementFormDefault="qualified">
    <xsd:import namespace="http://schemas.microsoft.com/office/2006/documentManagement/types"/>
    <xsd:import namespace="http://schemas.microsoft.com/office/infopath/2007/PartnerControls"/>
    <xsd:element name="d2c428c620de47619da1a5fd7ee15f3a" ma:index="10" nillable="true" ma:displayName="CFPO_0" ma:hidden="true" ma:internalName="d2c428c620de47619da1a5fd7ee15f3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8a9874-af09-4d17-a159-f75b55fd669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cb08eee-c767-435b-bab7-8eb1cc3f7718}" ma:internalName="TaxCatchAll" ma:showField="CatchAllData" ma:web="1d8a9874-af09-4d17-a159-f75b55fd6699">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BA0C8B-4BB0-445F-B72B-685608C4D728}">
  <ds:schemaRefs>
    <ds:schemaRef ds:uri="http://schemas.microsoft.com/sharepoint/v3/contenttype/forms"/>
  </ds:schemaRefs>
</ds:datastoreItem>
</file>

<file path=customXml/itemProps2.xml><?xml version="1.0" encoding="utf-8"?>
<ds:datastoreItem xmlns:ds="http://schemas.openxmlformats.org/officeDocument/2006/customXml" ds:itemID="{1C8E40D4-A234-4F7F-B145-D6BE3B95770F}">
  <ds:schemaRefs>
    <ds:schemaRef ds:uri="http://schemas.microsoft.com/office/2006/metadata/propertie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3af2311f-7d02-414a-9fae-594dec597e63"/>
    <ds:schemaRef ds:uri="e53cdf97-e5dd-43d5-8614-f86928402737"/>
    <ds:schemaRef ds:uri="http://purl.org/dc/terms/"/>
  </ds:schemaRefs>
</ds:datastoreItem>
</file>

<file path=customXml/itemProps3.xml><?xml version="1.0" encoding="utf-8"?>
<ds:datastoreItem xmlns:ds="http://schemas.openxmlformats.org/officeDocument/2006/customXml" ds:itemID="{0E82BE8D-B3C3-46CC-8EA6-CD8BFA8DED3D}"/>
</file>

<file path=customXml/itemProps4.xml><?xml version="1.0" encoding="utf-8"?>
<ds:datastoreItem xmlns:ds="http://schemas.openxmlformats.org/officeDocument/2006/customXml" ds:itemID="{1448193D-5D07-4F51-8F8A-F5360307FDC3}"/>
</file>

<file path=docProps/app.xml><?xml version="1.0" encoding="utf-8"?>
<Properties xmlns="http://schemas.openxmlformats.org/officeDocument/2006/extended-properties" xmlns:vt="http://schemas.openxmlformats.org/officeDocument/2006/docPropsVTypes">
  <Template>Normal.dotm</Template>
  <TotalTime>79</TotalTime>
  <Pages>9</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06a - Reserves Strategy 2021-26 annex - F and R 15.10.21</vt:lpstr>
    </vt:vector>
  </TitlesOfParts>
  <Company>West Yorkshire Fire &amp; Rescue Service</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06a - Reserves Strategy 2021-26 annex - F and R 15.10.21</dc:title>
  <dc:subject/>
  <dc:creator>Alison Wood</dc:creator>
  <cp:keywords/>
  <dc:description/>
  <cp:lastModifiedBy>Alison Wood</cp:lastModifiedBy>
  <cp:revision>7</cp:revision>
  <cp:lastPrinted>2022-09-05T16:29:00Z</cp:lastPrinted>
  <dcterms:created xsi:type="dcterms:W3CDTF">2023-07-25T15:29:00Z</dcterms:created>
  <dcterms:modified xsi:type="dcterms:W3CDTF">2023-08-09T15:06:00Z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0x010100ECBD632E64AFCB4A9C942C965D89CB2A</vt:lpwstr>
  </property>
  <property fmtid="{D5CDD505-2E9C-101B-9397-08002B2CF9AE}" pid="3" name="_dlc_DocIdItemGuid">
    <vt:lpwstr>88933515-496d-4041-88d3-38596f605287</vt:lpwstr>
  </property>
  <property fmtid="{D5CDD505-2E9C-101B-9397-08002B2CF9AE}" pid="4" name="_dlc_DocId">
    <vt:lpwstr>IT74F4A52UY-931220217-3552</vt:lpwstr>
  </property>
  <property fmtid="{D5CDD505-2E9C-101B-9397-08002B2CF9AE}" pid="5" name="_dlc_DocIdUrl">
    <vt:lpwstr>http://wyfirespace.westyorksfire.gov.uk/teams/committeeservices/_layouts/DocIdRedir.aspx?ID=IT74F4A52UY-931220217-3552, IT74F4A52UY-931220217-3552</vt:lpwstr>
  </property>
  <property fmtid="{D5CDD505-2E9C-101B-9397-08002B2CF9AE}" pid="7" name="WYFRSFileID">
    <vt:lpwstr/>
  </property>
  <property fmtid="{D5CDD505-2E9C-101B-9397-08002B2CF9AE}" pid="8" name="WYFRSRecipient">
    <vt:lpwstr/>
  </property>
  <property fmtid="{D5CDD505-2E9C-101B-9397-08002B2CF9AE}" pid="9" name="URL">
    <vt:lpwstr/>
  </property>
  <property fmtid="{D5CDD505-2E9C-101B-9397-08002B2CF9AE}" pid="10" name="Publish to Library">
    <vt:lpwstr/>
  </property>
  <property fmtid="{D5CDD505-2E9C-101B-9397-08002B2CF9AE}" pid="11" name="WYFRSLocation">
    <vt:lpwstr/>
  </property>
  <property fmtid="{D5CDD505-2E9C-101B-9397-08002B2CF9AE}" pid="12" name="WYFRSSalutation">
    <vt:lpwstr/>
  </property>
  <property fmtid="{D5CDD505-2E9C-101B-9397-08002B2CF9AE}" pid="13" name="WYFRSOwnership">
    <vt:lpwstr/>
  </property>
  <property fmtid="{D5CDD505-2E9C-101B-9397-08002B2CF9AE}" pid="14" name="WYFRSDepartment">
    <vt:lpwstr/>
  </property>
  <property fmtid="{D5CDD505-2E9C-101B-9397-08002B2CF9AE}" pid="15" name="WYFRSTime">
    <vt:lpwstr/>
  </property>
  <property fmtid="{D5CDD505-2E9C-101B-9397-08002B2CF9AE}" pid="16" name="WYFRSJobTitle">
    <vt:lpwstr/>
  </property>
  <property fmtid="{D5CDD505-2E9C-101B-9397-08002B2CF9AE}" pid="17" name="WYFRSFileStatus">
    <vt:lpwstr/>
  </property>
  <property fmtid="{D5CDD505-2E9C-101B-9397-08002B2CF9AE}" pid="18" name="WYFRSVersion">
    <vt:lpwstr/>
  </property>
  <property fmtid="{D5CDD505-2E9C-101B-9397-08002B2CF9AE}" pid="19" name="WYFRSEmail">
    <vt:lpwstr/>
  </property>
  <property fmtid="{D5CDD505-2E9C-101B-9397-08002B2CF9AE}" pid="20" name="Information Category">
    <vt:lpwstr/>
  </property>
  <property fmtid="{D5CDD505-2E9C-101B-9397-08002B2CF9AE}" pid="21" name="WYFRSAddressee">
    <vt:lpwstr/>
  </property>
  <property fmtid="{D5CDD505-2E9C-101B-9397-08002B2CF9AE}" pid="23" name="WYFRSReportSubTitle">
    <vt:lpwstr/>
  </property>
  <property fmtid="{D5CDD505-2E9C-101B-9397-08002B2CF9AE}" pid="24" name="WYFRSMobile">
    <vt:lpwstr/>
  </property>
  <property fmtid="{D5CDD505-2E9C-101B-9397-08002B2CF9AE}" pid="27" name="WYFRSYourRef">
    <vt:lpwstr/>
  </property>
  <property fmtid="{D5CDD505-2E9C-101B-9397-08002B2CF9AE}" pid="28" name="WYFRSVenue">
    <vt:lpwstr/>
  </property>
  <property fmtid="{D5CDD505-2E9C-101B-9397-08002B2CF9AE}" pid="29" name="WYFRSTo">
    <vt:lpwstr/>
  </property>
  <property fmtid="{D5CDD505-2E9C-101B-9397-08002B2CF9AE}" pid="30" name="WYFRSFrom">
    <vt:lpwstr/>
  </property>
  <property fmtid="{D5CDD505-2E9C-101B-9397-08002B2CF9AE}" pid="31" name="WYFRSRef">
    <vt:lpwstr/>
  </property>
  <property fmtid="{D5CDD505-2E9C-101B-9397-08002B2CF9AE}" pid="32" name="CFPO">
    <vt:lpwstr/>
  </property>
</Properties>
</file>