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FC12" w14:textId="77777777" w:rsidR="00E53B3A" w:rsidRPr="00E53B3A" w:rsidRDefault="00E53B3A" w:rsidP="00E53B3A">
      <w:pPr>
        <w:spacing w:after="160" w:line="259" w:lineRule="auto"/>
        <w:jc w:val="center"/>
        <w:rPr>
          <w:rFonts w:ascii="Calibri" w:eastAsia="Calibri" w:hAnsi="Calibri" w:cs="Times New Roman"/>
          <w:b/>
          <w:sz w:val="72"/>
          <w:szCs w:val="72"/>
        </w:rPr>
      </w:pPr>
      <w:r w:rsidRPr="00E53B3A">
        <w:rPr>
          <w:rFonts w:ascii="Calibri" w:eastAsia="Calibri" w:hAnsi="Calibri" w:cs="Times New Roman"/>
          <w:b/>
          <w:sz w:val="72"/>
          <w:szCs w:val="72"/>
        </w:rPr>
        <w:t>WEST YORKSHIRE FIRE AND RESCUE SERVICE</w:t>
      </w:r>
    </w:p>
    <w:p w14:paraId="652233A6" w14:textId="77777777" w:rsidR="00E53B3A" w:rsidRPr="00E53B3A" w:rsidRDefault="00E53B3A" w:rsidP="00E53B3A">
      <w:pPr>
        <w:spacing w:after="160" w:line="259" w:lineRule="auto"/>
        <w:jc w:val="center"/>
        <w:rPr>
          <w:rFonts w:ascii="Calibri" w:eastAsia="Calibri" w:hAnsi="Calibri" w:cs="Times New Roman"/>
          <w:sz w:val="72"/>
          <w:szCs w:val="72"/>
        </w:rPr>
      </w:pPr>
    </w:p>
    <w:p w14:paraId="6C2463E8" w14:textId="77777777" w:rsidR="00E53B3A" w:rsidRPr="00E53B3A" w:rsidRDefault="00E53B3A" w:rsidP="00E53B3A">
      <w:pPr>
        <w:spacing w:after="160" w:line="259" w:lineRule="auto"/>
        <w:jc w:val="center"/>
        <w:rPr>
          <w:rFonts w:ascii="Calibri" w:eastAsia="Calibri" w:hAnsi="Calibri" w:cs="Times New Roman"/>
          <w:sz w:val="72"/>
          <w:szCs w:val="72"/>
        </w:rPr>
      </w:pPr>
    </w:p>
    <w:p w14:paraId="4B19BE1B" w14:textId="77777777" w:rsidR="00E53B3A" w:rsidRPr="00E53B3A" w:rsidRDefault="00E53B3A" w:rsidP="00E53B3A">
      <w:pPr>
        <w:spacing w:after="160" w:line="259" w:lineRule="auto"/>
        <w:jc w:val="center"/>
        <w:rPr>
          <w:rFonts w:ascii="Calibri" w:eastAsia="Calibri" w:hAnsi="Calibri" w:cs="Times New Roman"/>
          <w:sz w:val="72"/>
          <w:szCs w:val="72"/>
        </w:rPr>
      </w:pPr>
    </w:p>
    <w:p w14:paraId="359EF158" w14:textId="579CE19C" w:rsidR="00E53B3A" w:rsidRPr="00E53B3A" w:rsidRDefault="0022630E" w:rsidP="00E53B3A">
      <w:pPr>
        <w:spacing w:after="160" w:line="259" w:lineRule="auto"/>
        <w:jc w:val="center"/>
        <w:rPr>
          <w:rFonts w:ascii="Calibri" w:eastAsia="Calibri" w:hAnsi="Calibri" w:cs="Times New Roman"/>
          <w:b/>
          <w:sz w:val="72"/>
          <w:szCs w:val="72"/>
        </w:rPr>
      </w:pPr>
      <w:r>
        <w:rPr>
          <w:rFonts w:ascii="Calibri" w:eastAsia="Calibri" w:hAnsi="Calibri" w:cs="Times New Roman"/>
          <w:b/>
          <w:sz w:val="72"/>
          <w:szCs w:val="72"/>
        </w:rPr>
        <w:t>Treasury Management</w:t>
      </w:r>
      <w:r w:rsidR="00E53B3A" w:rsidRPr="00E53B3A">
        <w:rPr>
          <w:rFonts w:ascii="Calibri" w:eastAsia="Calibri" w:hAnsi="Calibri" w:cs="Times New Roman"/>
          <w:b/>
          <w:sz w:val="72"/>
          <w:szCs w:val="72"/>
        </w:rPr>
        <w:t xml:space="preserve"> S</w:t>
      </w:r>
      <w:r w:rsidR="00E53B3A">
        <w:rPr>
          <w:rFonts w:ascii="Calibri" w:eastAsia="Calibri" w:hAnsi="Calibri" w:cs="Times New Roman"/>
          <w:b/>
          <w:sz w:val="72"/>
          <w:szCs w:val="72"/>
        </w:rPr>
        <w:t>trategy</w:t>
      </w:r>
    </w:p>
    <w:p w14:paraId="2D9D8726" w14:textId="3887F6D6" w:rsidR="00E53B3A" w:rsidRPr="00E53B3A" w:rsidRDefault="00E53B3A" w:rsidP="00E53B3A">
      <w:pPr>
        <w:spacing w:after="160" w:line="259" w:lineRule="auto"/>
        <w:jc w:val="center"/>
        <w:rPr>
          <w:rFonts w:ascii="Calibri" w:eastAsia="Calibri" w:hAnsi="Calibri" w:cs="Times New Roman"/>
          <w:b/>
          <w:sz w:val="72"/>
          <w:szCs w:val="72"/>
        </w:rPr>
      </w:pPr>
      <w:r w:rsidRPr="00E53B3A">
        <w:rPr>
          <w:rFonts w:ascii="Calibri" w:eastAsia="Calibri" w:hAnsi="Calibri" w:cs="Times New Roman"/>
          <w:b/>
          <w:sz w:val="72"/>
          <w:szCs w:val="72"/>
        </w:rPr>
        <w:t xml:space="preserve">2023/24 </w:t>
      </w:r>
    </w:p>
    <w:p w14:paraId="186BA2AA" w14:textId="77777777" w:rsidR="002D1B36" w:rsidRDefault="002D1B36"/>
    <w:p w14:paraId="1C971D66" w14:textId="77777777" w:rsidR="00E910BD" w:rsidRDefault="00E910BD"/>
    <w:p w14:paraId="42551D7C" w14:textId="77777777" w:rsidR="00E910BD" w:rsidRDefault="00E910BD"/>
    <w:p w14:paraId="2B5BF178" w14:textId="77777777" w:rsidR="00E910BD" w:rsidRDefault="00E910BD"/>
    <w:p w14:paraId="43261858" w14:textId="77777777" w:rsidR="00E910BD" w:rsidRDefault="00E910BD"/>
    <w:p w14:paraId="0F30DB04" w14:textId="77777777" w:rsidR="00E910BD" w:rsidRDefault="00E910BD"/>
    <w:p w14:paraId="469F1BBB" w14:textId="77777777" w:rsidR="00E910BD" w:rsidRDefault="00E910BD"/>
    <w:p w14:paraId="07F9A759" w14:textId="77777777" w:rsidR="00E910BD" w:rsidRDefault="00E910BD"/>
    <w:p w14:paraId="7E79CD08" w14:textId="77777777" w:rsidR="00E910BD" w:rsidRDefault="00E910BD"/>
    <w:p w14:paraId="193510E3" w14:textId="77777777" w:rsidR="00E910BD" w:rsidRDefault="00E910BD"/>
    <w:p w14:paraId="2EBA3F38" w14:textId="77777777" w:rsidR="008620FD" w:rsidRDefault="008620FD"/>
    <w:p w14:paraId="4B45020E" w14:textId="77777777" w:rsidR="008620FD" w:rsidRDefault="008620FD"/>
    <w:p w14:paraId="3021BE0F" w14:textId="77777777" w:rsidR="008620FD" w:rsidRDefault="008620FD"/>
    <w:p w14:paraId="4B01FA86" w14:textId="77777777" w:rsidR="00E910BD" w:rsidRDefault="00E910BD"/>
    <w:p w14:paraId="34DE0157" w14:textId="115CD001" w:rsidR="00E910BD" w:rsidRDefault="00E910BD" w:rsidP="00155F52">
      <w:pPr>
        <w:pStyle w:val="ListParagraph"/>
        <w:numPr>
          <w:ilvl w:val="0"/>
          <w:numId w:val="2"/>
        </w:numPr>
        <w:rPr>
          <w:rFonts w:ascii="Arial" w:hAnsi="Arial" w:cs="Arial"/>
          <w:b/>
          <w:bCs/>
          <w:sz w:val="24"/>
          <w:szCs w:val="24"/>
        </w:rPr>
      </w:pPr>
      <w:r w:rsidRPr="00F55AC7">
        <w:rPr>
          <w:rFonts w:ascii="Arial" w:hAnsi="Arial" w:cs="Arial"/>
          <w:b/>
          <w:bCs/>
          <w:sz w:val="24"/>
          <w:szCs w:val="24"/>
        </w:rPr>
        <w:lastRenderedPageBreak/>
        <w:t xml:space="preserve">Purpose </w:t>
      </w:r>
    </w:p>
    <w:p w14:paraId="0E6D9B43" w14:textId="20A5BD53" w:rsidR="00155F52" w:rsidRPr="00155F52" w:rsidRDefault="00155F52" w:rsidP="00155F52">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ab/>
      </w:r>
      <w:r w:rsidRPr="00155F52">
        <w:rPr>
          <w:rFonts w:ascii="Arial" w:hAnsi="Arial" w:cs="Arial"/>
          <w:color w:val="000000"/>
          <w:sz w:val="24"/>
          <w:szCs w:val="24"/>
        </w:rPr>
        <w:t xml:space="preserve">Treasury management is defined by the Chartered Institute of Public Finance and Accountancy’s (CIPFA) Treasury Management Code of Practice as: </w:t>
      </w:r>
    </w:p>
    <w:p w14:paraId="1DEA150F" w14:textId="77777777" w:rsidR="00155F52" w:rsidRPr="00155F52" w:rsidRDefault="00155F52" w:rsidP="00155F52">
      <w:pPr>
        <w:autoSpaceDE w:val="0"/>
        <w:autoSpaceDN w:val="0"/>
        <w:adjustRightInd w:val="0"/>
        <w:spacing w:after="0" w:line="240" w:lineRule="auto"/>
        <w:ind w:left="720" w:hanging="720"/>
        <w:rPr>
          <w:rFonts w:ascii="Arial" w:hAnsi="Arial" w:cs="Arial"/>
          <w:color w:val="000000"/>
          <w:sz w:val="24"/>
          <w:szCs w:val="24"/>
        </w:rPr>
      </w:pPr>
    </w:p>
    <w:p w14:paraId="3836B15F" w14:textId="77777777" w:rsidR="00155F52" w:rsidRPr="00155F52" w:rsidRDefault="00155F52" w:rsidP="00155F52">
      <w:pPr>
        <w:autoSpaceDE w:val="0"/>
        <w:autoSpaceDN w:val="0"/>
        <w:adjustRightInd w:val="0"/>
        <w:spacing w:after="0" w:line="240" w:lineRule="auto"/>
        <w:ind w:left="720" w:right="-496" w:hanging="720"/>
        <w:jc w:val="both"/>
        <w:rPr>
          <w:rFonts w:ascii="Arial" w:hAnsi="Arial" w:cs="Arial"/>
          <w:color w:val="000000"/>
          <w:sz w:val="24"/>
          <w:szCs w:val="24"/>
        </w:rPr>
      </w:pPr>
      <w:r w:rsidRPr="00155F52">
        <w:rPr>
          <w:rFonts w:ascii="Arial" w:hAnsi="Arial" w:cs="Arial"/>
          <w:color w:val="000000"/>
          <w:sz w:val="24"/>
          <w:szCs w:val="24"/>
        </w:rPr>
        <w:tab/>
        <w:t>“The management of the Authority’s borrowings, investments and cash flows, its banking, money market and capital market transactions; the effective control of risks associated with those activities; and the pursuit of optimum performance consistent with those risks”.</w:t>
      </w:r>
    </w:p>
    <w:p w14:paraId="253F69F2" w14:textId="77777777" w:rsidR="00155F52" w:rsidRPr="00155F52" w:rsidRDefault="00155F52" w:rsidP="00155F52">
      <w:pPr>
        <w:autoSpaceDE w:val="0"/>
        <w:autoSpaceDN w:val="0"/>
        <w:adjustRightInd w:val="0"/>
        <w:spacing w:after="0" w:line="240" w:lineRule="auto"/>
        <w:ind w:left="720" w:hanging="720"/>
        <w:rPr>
          <w:rFonts w:ascii="Arial" w:hAnsi="Arial" w:cs="Arial"/>
          <w:color w:val="000000"/>
          <w:sz w:val="24"/>
          <w:szCs w:val="24"/>
        </w:rPr>
      </w:pPr>
      <w:r w:rsidRPr="00155F52">
        <w:rPr>
          <w:rFonts w:ascii="Arial" w:hAnsi="Arial" w:cs="Arial"/>
          <w:color w:val="000000"/>
          <w:sz w:val="24"/>
          <w:szCs w:val="24"/>
        </w:rPr>
        <w:t xml:space="preserve"> </w:t>
      </w:r>
    </w:p>
    <w:p w14:paraId="0CD039FD" w14:textId="34F40B27" w:rsidR="00155F52" w:rsidRPr="00155F52" w:rsidRDefault="00155F52" w:rsidP="00155F52">
      <w:pPr>
        <w:autoSpaceDE w:val="0"/>
        <w:autoSpaceDN w:val="0"/>
        <w:adjustRightInd w:val="0"/>
        <w:spacing w:after="0" w:line="240" w:lineRule="auto"/>
        <w:ind w:left="720" w:right="-496" w:hanging="720"/>
        <w:jc w:val="both"/>
        <w:rPr>
          <w:rFonts w:ascii="Arial" w:hAnsi="Arial" w:cs="Arial"/>
          <w:color w:val="000000"/>
          <w:sz w:val="24"/>
          <w:szCs w:val="24"/>
        </w:rPr>
      </w:pPr>
      <w:r>
        <w:rPr>
          <w:rFonts w:ascii="Arial" w:hAnsi="Arial" w:cs="Arial"/>
          <w:color w:val="000000"/>
          <w:sz w:val="24"/>
          <w:szCs w:val="24"/>
        </w:rPr>
        <w:tab/>
      </w:r>
      <w:r w:rsidRPr="00155F52">
        <w:rPr>
          <w:rFonts w:ascii="Arial" w:hAnsi="Arial" w:cs="Arial"/>
          <w:color w:val="000000"/>
          <w:sz w:val="24"/>
          <w:szCs w:val="24"/>
        </w:rPr>
        <w:t xml:space="preserve">There are two parts to the treasury management operations, the first is to ensure that the Authority’s cash flow is adequately planned, with cash being available when it is needed. Surplus monies are placed in low-risk counterparties or instruments in line with the Authority’s low risk appetite, providing adequate liquidity initially before considering investment return. The second main function of treasury management is the funding of the Authority’s capital plans. The Capital Strategy provides a guide to the borrowing need of the Authority, essentially the longer-term cash flow planning to ensure that the Authority can meet its capital spending obligations. </w:t>
      </w:r>
    </w:p>
    <w:p w14:paraId="2B4D66EB" w14:textId="77777777" w:rsidR="00155F52" w:rsidRPr="00155F52" w:rsidRDefault="00155F52" w:rsidP="00155F52">
      <w:pPr>
        <w:autoSpaceDE w:val="0"/>
        <w:autoSpaceDN w:val="0"/>
        <w:adjustRightInd w:val="0"/>
        <w:spacing w:after="0" w:line="240" w:lineRule="auto"/>
        <w:ind w:left="720" w:right="-496" w:hanging="720"/>
        <w:rPr>
          <w:rFonts w:ascii="Arial" w:hAnsi="Arial" w:cs="Arial"/>
          <w:color w:val="000000"/>
          <w:sz w:val="24"/>
          <w:szCs w:val="24"/>
        </w:rPr>
      </w:pPr>
    </w:p>
    <w:p w14:paraId="59CCFFD4" w14:textId="67C37CF1" w:rsidR="00155F52" w:rsidRDefault="00155F52" w:rsidP="00155F52">
      <w:pPr>
        <w:pStyle w:val="ListParagraph"/>
        <w:numPr>
          <w:ilvl w:val="0"/>
          <w:numId w:val="2"/>
        </w:numPr>
        <w:autoSpaceDE w:val="0"/>
        <w:autoSpaceDN w:val="0"/>
        <w:adjustRightInd w:val="0"/>
        <w:spacing w:after="0" w:line="240" w:lineRule="auto"/>
        <w:ind w:right="-496"/>
        <w:jc w:val="both"/>
        <w:rPr>
          <w:rFonts w:ascii="Arial" w:hAnsi="Arial" w:cs="Arial"/>
          <w:b/>
          <w:bCs/>
          <w:color w:val="000000"/>
          <w:sz w:val="24"/>
          <w:szCs w:val="24"/>
        </w:rPr>
      </w:pPr>
      <w:r w:rsidRPr="00155F52">
        <w:rPr>
          <w:rFonts w:ascii="Arial" w:hAnsi="Arial" w:cs="Arial"/>
          <w:b/>
          <w:bCs/>
          <w:color w:val="000000"/>
          <w:sz w:val="24"/>
          <w:szCs w:val="24"/>
        </w:rPr>
        <w:t>Regulations</w:t>
      </w:r>
    </w:p>
    <w:p w14:paraId="1E9901A5" w14:textId="77777777" w:rsidR="00155F52" w:rsidRPr="00155F52" w:rsidRDefault="00155F52" w:rsidP="00155F52">
      <w:pPr>
        <w:pStyle w:val="ListParagraph"/>
        <w:autoSpaceDE w:val="0"/>
        <w:autoSpaceDN w:val="0"/>
        <w:adjustRightInd w:val="0"/>
        <w:spacing w:after="0" w:line="240" w:lineRule="auto"/>
        <w:ind w:right="-496"/>
        <w:jc w:val="both"/>
        <w:rPr>
          <w:rFonts w:ascii="Arial" w:hAnsi="Arial" w:cs="Arial"/>
          <w:b/>
          <w:bCs/>
          <w:color w:val="000000"/>
          <w:sz w:val="24"/>
          <w:szCs w:val="24"/>
        </w:rPr>
      </w:pPr>
    </w:p>
    <w:p w14:paraId="53720E33" w14:textId="287F4CA5" w:rsidR="00155F52" w:rsidRPr="00155F52" w:rsidRDefault="00155F52" w:rsidP="00155F52">
      <w:pPr>
        <w:autoSpaceDE w:val="0"/>
        <w:autoSpaceDN w:val="0"/>
        <w:adjustRightInd w:val="0"/>
        <w:spacing w:after="0" w:line="240" w:lineRule="auto"/>
        <w:ind w:left="720" w:right="-496" w:hanging="720"/>
        <w:jc w:val="both"/>
        <w:rPr>
          <w:rFonts w:ascii="Arial" w:hAnsi="Arial" w:cs="Arial"/>
          <w:color w:val="000000"/>
          <w:sz w:val="24"/>
          <w:szCs w:val="24"/>
        </w:rPr>
      </w:pPr>
      <w:r>
        <w:rPr>
          <w:rFonts w:ascii="Arial" w:hAnsi="Arial" w:cs="Arial"/>
          <w:color w:val="000000"/>
          <w:sz w:val="24"/>
          <w:szCs w:val="24"/>
        </w:rPr>
        <w:tab/>
      </w:r>
      <w:r w:rsidRPr="00155F52">
        <w:rPr>
          <w:rFonts w:ascii="Arial" w:hAnsi="Arial" w:cs="Arial"/>
          <w:color w:val="000000"/>
          <w:sz w:val="24"/>
          <w:szCs w:val="24"/>
        </w:rPr>
        <w:t xml:space="preserve">The CIPFA Code of Practice on Treasury Management (TM) and the CIPFA Prudential Code require local authorities to determine and set the Authority’s Treasury Management Strategy, its Strategy relating to investment activity, and Prudential Indicators on an annual basis. The Authority currently has cash backed reserves and balances of circa £43m, so it is important that robust and appropriate processes are in place to ensure adequate security of the sums invested, as a loss of principal will in effect result in a loss to the General Fund. Set out below are the key elements of the Strategy covering the borrowing requirements and investment arrangements. </w:t>
      </w:r>
    </w:p>
    <w:p w14:paraId="5997A9A5" w14:textId="77777777" w:rsidR="00155F52" w:rsidRPr="00155F52" w:rsidRDefault="00155F52" w:rsidP="00155F52">
      <w:pPr>
        <w:autoSpaceDE w:val="0"/>
        <w:autoSpaceDN w:val="0"/>
        <w:adjustRightInd w:val="0"/>
        <w:spacing w:after="0" w:line="240" w:lineRule="auto"/>
        <w:ind w:left="720" w:right="-496" w:hanging="720"/>
        <w:rPr>
          <w:rFonts w:ascii="Arial" w:hAnsi="Arial" w:cs="Arial"/>
          <w:color w:val="000000"/>
          <w:sz w:val="24"/>
          <w:szCs w:val="24"/>
        </w:rPr>
      </w:pPr>
    </w:p>
    <w:p w14:paraId="2A540718" w14:textId="07D91799" w:rsidR="00155F52" w:rsidRPr="00155F52" w:rsidRDefault="00155F52" w:rsidP="00155F52">
      <w:pPr>
        <w:autoSpaceDE w:val="0"/>
        <w:autoSpaceDN w:val="0"/>
        <w:adjustRightInd w:val="0"/>
        <w:spacing w:after="0" w:line="240" w:lineRule="auto"/>
        <w:ind w:left="720" w:right="-496" w:hanging="720"/>
        <w:jc w:val="both"/>
        <w:rPr>
          <w:rFonts w:ascii="Arial" w:hAnsi="Arial" w:cs="Arial"/>
          <w:color w:val="000000"/>
          <w:sz w:val="24"/>
          <w:szCs w:val="24"/>
        </w:rPr>
      </w:pPr>
      <w:r>
        <w:rPr>
          <w:rFonts w:ascii="Arial" w:hAnsi="Arial" w:cs="Arial"/>
          <w:color w:val="000000"/>
          <w:sz w:val="24"/>
          <w:szCs w:val="24"/>
        </w:rPr>
        <w:tab/>
      </w:r>
      <w:r w:rsidRPr="00155F52">
        <w:rPr>
          <w:rFonts w:ascii="Arial" w:hAnsi="Arial" w:cs="Arial"/>
          <w:color w:val="000000"/>
          <w:sz w:val="24"/>
          <w:szCs w:val="24"/>
        </w:rPr>
        <w:t xml:space="preserve">The Authority’s Investment Strategy has regard to the TM Code and the Guidance. It has two objectives: the first is security, in order to ensure that the capital sum is protected from loss, ensuring that the Authority’s money is returned; and the second is portfolio liquidity, in order to ensure that cash is available when needed. Only when the proper levels of security and liquidity have been determined can the Authority then consider the yield that can be obtained within these parameters. </w:t>
      </w:r>
    </w:p>
    <w:p w14:paraId="74A0E9A0" w14:textId="77777777" w:rsidR="00155F52" w:rsidRPr="00155F52" w:rsidRDefault="00155F52" w:rsidP="00155F52">
      <w:pPr>
        <w:autoSpaceDE w:val="0"/>
        <w:autoSpaceDN w:val="0"/>
        <w:adjustRightInd w:val="0"/>
        <w:spacing w:after="0" w:line="240" w:lineRule="auto"/>
        <w:ind w:left="720" w:right="-496" w:hanging="720"/>
        <w:rPr>
          <w:rFonts w:ascii="Arial" w:hAnsi="Arial" w:cs="Arial"/>
          <w:color w:val="000000"/>
          <w:sz w:val="24"/>
          <w:szCs w:val="24"/>
        </w:rPr>
      </w:pPr>
    </w:p>
    <w:p w14:paraId="5C2F8B05" w14:textId="7CA7D88B" w:rsidR="00155F52" w:rsidRPr="00155F52" w:rsidRDefault="00155F52" w:rsidP="00155F52">
      <w:pPr>
        <w:autoSpaceDE w:val="0"/>
        <w:autoSpaceDN w:val="0"/>
        <w:adjustRightInd w:val="0"/>
        <w:spacing w:after="0" w:line="240" w:lineRule="auto"/>
        <w:ind w:left="720" w:right="-496" w:hanging="720"/>
        <w:jc w:val="both"/>
        <w:rPr>
          <w:rFonts w:ascii="Arial" w:hAnsi="Arial" w:cs="Arial"/>
          <w:color w:val="000000"/>
          <w:sz w:val="24"/>
          <w:szCs w:val="24"/>
        </w:rPr>
      </w:pPr>
      <w:r>
        <w:rPr>
          <w:rFonts w:ascii="Arial" w:hAnsi="Arial" w:cs="Arial"/>
          <w:color w:val="000000"/>
          <w:sz w:val="24"/>
          <w:szCs w:val="24"/>
        </w:rPr>
        <w:tab/>
      </w:r>
      <w:r w:rsidRPr="00155F52">
        <w:rPr>
          <w:rFonts w:ascii="Arial" w:hAnsi="Arial" w:cs="Arial"/>
          <w:color w:val="000000"/>
          <w:sz w:val="24"/>
          <w:szCs w:val="24"/>
        </w:rPr>
        <w:t xml:space="preserve">This Strategy has been created based on CIPFA Prudential and Treasury Management Codes, which requires the Authority to prepare a Capital Strategy. This Authority does not envisage any commercial investments and has no non-treasury investments. </w:t>
      </w:r>
    </w:p>
    <w:p w14:paraId="26F52E3D" w14:textId="77777777" w:rsidR="00155F52" w:rsidRPr="00155F52" w:rsidRDefault="00155F52" w:rsidP="00155F52">
      <w:pPr>
        <w:autoSpaceDE w:val="0"/>
        <w:autoSpaceDN w:val="0"/>
        <w:adjustRightInd w:val="0"/>
        <w:spacing w:after="0" w:line="240" w:lineRule="auto"/>
        <w:ind w:left="720" w:right="-496" w:hanging="720"/>
        <w:rPr>
          <w:rFonts w:ascii="Arial" w:hAnsi="Arial" w:cs="Arial"/>
          <w:color w:val="000000"/>
          <w:sz w:val="24"/>
          <w:szCs w:val="24"/>
        </w:rPr>
      </w:pPr>
    </w:p>
    <w:p w14:paraId="065DFBCC" w14:textId="77777777" w:rsidR="00155F52" w:rsidRDefault="00155F52" w:rsidP="00155F52">
      <w:pPr>
        <w:autoSpaceDE w:val="0"/>
        <w:autoSpaceDN w:val="0"/>
        <w:adjustRightInd w:val="0"/>
        <w:spacing w:after="0" w:line="240" w:lineRule="auto"/>
        <w:ind w:left="720" w:right="-496" w:hanging="720"/>
        <w:jc w:val="both"/>
        <w:rPr>
          <w:rFonts w:ascii="Arial" w:hAnsi="Arial" w:cs="Arial"/>
          <w:color w:val="000000"/>
          <w:sz w:val="24"/>
          <w:szCs w:val="24"/>
        </w:rPr>
      </w:pPr>
      <w:r>
        <w:rPr>
          <w:rFonts w:ascii="Arial" w:hAnsi="Arial" w:cs="Arial"/>
          <w:color w:val="000000"/>
          <w:sz w:val="24"/>
          <w:szCs w:val="24"/>
        </w:rPr>
        <w:tab/>
      </w:r>
      <w:r w:rsidRPr="00155F52">
        <w:rPr>
          <w:rFonts w:ascii="Arial" w:hAnsi="Arial" w:cs="Arial"/>
          <w:color w:val="000000"/>
          <w:sz w:val="24"/>
          <w:szCs w:val="24"/>
        </w:rPr>
        <w:t>Treasury Management activity is governed and managed by using a set of standards which are called Treasury Management Practices. These set out the manner in which the Authority aims to achieve its treasury management policies and objectives and how it will manage and control those activities. It is good practice that these are presented to members for information. These are attached in Appendix A</w:t>
      </w:r>
    </w:p>
    <w:p w14:paraId="6B741C83" w14:textId="77777777" w:rsidR="00155F52" w:rsidRDefault="00155F52" w:rsidP="00155F52">
      <w:pPr>
        <w:autoSpaceDE w:val="0"/>
        <w:autoSpaceDN w:val="0"/>
        <w:adjustRightInd w:val="0"/>
        <w:spacing w:after="0" w:line="240" w:lineRule="auto"/>
        <w:ind w:left="720" w:right="-496" w:hanging="720"/>
        <w:jc w:val="both"/>
        <w:rPr>
          <w:rFonts w:ascii="Arial" w:hAnsi="Arial" w:cs="Arial"/>
          <w:color w:val="000000"/>
          <w:sz w:val="24"/>
          <w:szCs w:val="24"/>
        </w:rPr>
      </w:pPr>
    </w:p>
    <w:p w14:paraId="7C8C3146" w14:textId="34522E7E" w:rsidR="00155F52" w:rsidRPr="00155F52" w:rsidRDefault="00155F52" w:rsidP="00155F52">
      <w:pPr>
        <w:pStyle w:val="ListParagraph"/>
        <w:numPr>
          <w:ilvl w:val="0"/>
          <w:numId w:val="2"/>
        </w:numPr>
        <w:autoSpaceDE w:val="0"/>
        <w:autoSpaceDN w:val="0"/>
        <w:adjustRightInd w:val="0"/>
        <w:spacing w:after="0" w:line="240" w:lineRule="auto"/>
        <w:ind w:right="-496"/>
        <w:jc w:val="both"/>
        <w:rPr>
          <w:rFonts w:ascii="Arial" w:hAnsi="Arial" w:cs="Arial"/>
          <w:color w:val="000000"/>
          <w:sz w:val="24"/>
          <w:szCs w:val="24"/>
        </w:rPr>
      </w:pPr>
      <w:r w:rsidRPr="00155F52">
        <w:rPr>
          <w:rFonts w:ascii="Arial" w:hAnsi="Arial" w:cs="Arial"/>
          <w:b/>
          <w:bCs/>
          <w:sz w:val="24"/>
          <w:szCs w:val="24"/>
        </w:rPr>
        <w:t xml:space="preserve">National Guidance and Governance </w:t>
      </w:r>
    </w:p>
    <w:p w14:paraId="294B5220" w14:textId="77777777" w:rsidR="00155F52" w:rsidRPr="00155F52" w:rsidRDefault="00155F52" w:rsidP="00155F52">
      <w:pPr>
        <w:autoSpaceDE w:val="0"/>
        <w:autoSpaceDN w:val="0"/>
        <w:adjustRightInd w:val="0"/>
        <w:spacing w:after="0" w:line="240" w:lineRule="auto"/>
        <w:ind w:right="-496" w:firstLine="720"/>
        <w:rPr>
          <w:rFonts w:ascii="Arial" w:hAnsi="Arial" w:cs="Arial"/>
          <w:sz w:val="24"/>
          <w:szCs w:val="24"/>
        </w:rPr>
      </w:pPr>
    </w:p>
    <w:p w14:paraId="499A6DAA" w14:textId="1641DC4C" w:rsidR="00155F52" w:rsidRPr="00155F52" w:rsidRDefault="00155F52" w:rsidP="00155F52">
      <w:pPr>
        <w:autoSpaceDE w:val="0"/>
        <w:autoSpaceDN w:val="0"/>
        <w:adjustRightInd w:val="0"/>
        <w:spacing w:after="0" w:line="240" w:lineRule="auto"/>
        <w:ind w:left="720" w:right="-496" w:hanging="720"/>
        <w:jc w:val="both"/>
        <w:rPr>
          <w:rFonts w:ascii="Arial" w:eastAsia="Times New Roman" w:hAnsi="Arial" w:cs="Times New Roman"/>
          <w:spacing w:val="-5"/>
          <w:sz w:val="24"/>
          <w:szCs w:val="24"/>
        </w:rPr>
      </w:pPr>
      <w:r>
        <w:rPr>
          <w:rFonts w:ascii="Arial" w:hAnsi="Arial" w:cs="Arial"/>
          <w:sz w:val="24"/>
          <w:szCs w:val="24"/>
        </w:rPr>
        <w:tab/>
      </w:r>
      <w:r w:rsidRPr="00155F52">
        <w:rPr>
          <w:rFonts w:ascii="Arial" w:eastAsia="Times New Roman" w:hAnsi="Arial" w:cs="Times New Roman"/>
          <w:spacing w:val="-5"/>
          <w:sz w:val="24"/>
          <w:szCs w:val="24"/>
        </w:rPr>
        <w:t>CIPFA published the revised CIPFA Treasury Management Code and Prudential Code on the 20</w:t>
      </w:r>
      <w:r w:rsidRPr="00155F52">
        <w:rPr>
          <w:rFonts w:ascii="Arial" w:eastAsia="Times New Roman" w:hAnsi="Arial" w:cs="Times New Roman"/>
          <w:spacing w:val="-5"/>
          <w:sz w:val="24"/>
          <w:szCs w:val="24"/>
          <w:vertAlign w:val="superscript"/>
        </w:rPr>
        <w:t>th</w:t>
      </w:r>
      <w:r w:rsidRPr="00155F52">
        <w:rPr>
          <w:rFonts w:ascii="Arial" w:eastAsia="Times New Roman" w:hAnsi="Arial" w:cs="Times New Roman"/>
          <w:spacing w:val="-5"/>
          <w:sz w:val="24"/>
          <w:szCs w:val="24"/>
        </w:rPr>
        <w:t xml:space="preserve"> of December 2021 and has stated that revisions need to be included in the reporting framework from the 2023/24 financial year. This Authority, therefore, has to have regard to these Codes of Practice when it prepares the Treasury Management Strategy Statement and </w:t>
      </w:r>
      <w:r w:rsidRPr="00155F52">
        <w:rPr>
          <w:rFonts w:ascii="Arial" w:eastAsia="Times New Roman" w:hAnsi="Arial" w:cs="Times New Roman"/>
          <w:spacing w:val="-5"/>
          <w:sz w:val="24"/>
          <w:szCs w:val="24"/>
        </w:rPr>
        <w:lastRenderedPageBreak/>
        <w:t>Annual Investment Strategy, and also related reports during the financial year, which are taken to Full Authority for approval.</w:t>
      </w:r>
    </w:p>
    <w:p w14:paraId="446DFD02" w14:textId="77777777" w:rsidR="00155F52" w:rsidRPr="00155F52" w:rsidRDefault="00155F52" w:rsidP="00155F52">
      <w:pPr>
        <w:autoSpaceDE w:val="0"/>
        <w:autoSpaceDN w:val="0"/>
        <w:adjustRightInd w:val="0"/>
        <w:spacing w:after="0" w:line="240" w:lineRule="auto"/>
        <w:ind w:left="720" w:right="-496" w:hanging="720"/>
        <w:jc w:val="both"/>
        <w:rPr>
          <w:rFonts w:ascii="Arial" w:hAnsi="Arial" w:cs="Arial"/>
          <w:sz w:val="24"/>
          <w:szCs w:val="24"/>
        </w:rPr>
      </w:pPr>
      <w:r w:rsidRPr="00155F52">
        <w:rPr>
          <w:rFonts w:ascii="Arial" w:hAnsi="Arial" w:cs="Arial"/>
          <w:sz w:val="24"/>
          <w:szCs w:val="24"/>
        </w:rPr>
        <w:tab/>
        <w:t>The revised Treasury Management Code will require an authority to implement the following:</w:t>
      </w:r>
    </w:p>
    <w:p w14:paraId="72D713A7" w14:textId="77777777" w:rsidR="00C458CC" w:rsidRDefault="00155F52" w:rsidP="00C458CC">
      <w:pPr>
        <w:pStyle w:val="ListParagraph"/>
        <w:numPr>
          <w:ilvl w:val="0"/>
          <w:numId w:val="20"/>
        </w:numPr>
        <w:autoSpaceDE w:val="0"/>
        <w:autoSpaceDN w:val="0"/>
        <w:adjustRightInd w:val="0"/>
        <w:spacing w:after="0" w:line="240" w:lineRule="auto"/>
        <w:ind w:right="-496"/>
        <w:jc w:val="both"/>
        <w:rPr>
          <w:rFonts w:ascii="Arial" w:hAnsi="Arial" w:cs="Arial"/>
          <w:sz w:val="24"/>
          <w:szCs w:val="24"/>
        </w:rPr>
      </w:pPr>
      <w:r w:rsidRPr="00C458CC">
        <w:rPr>
          <w:rFonts w:ascii="Arial" w:hAnsi="Arial" w:cs="Arial"/>
          <w:sz w:val="24"/>
          <w:szCs w:val="24"/>
        </w:rPr>
        <w:t>Adopt a new debt liability benchmark treasury indicator.</w:t>
      </w:r>
    </w:p>
    <w:p w14:paraId="60BDC37A" w14:textId="77777777" w:rsidR="00C458CC" w:rsidRDefault="00155F52" w:rsidP="00C458CC">
      <w:pPr>
        <w:pStyle w:val="ListParagraph"/>
        <w:numPr>
          <w:ilvl w:val="0"/>
          <w:numId w:val="20"/>
        </w:numPr>
        <w:autoSpaceDE w:val="0"/>
        <w:autoSpaceDN w:val="0"/>
        <w:adjustRightInd w:val="0"/>
        <w:spacing w:after="0" w:line="240" w:lineRule="auto"/>
        <w:ind w:right="-496"/>
        <w:jc w:val="both"/>
        <w:rPr>
          <w:rFonts w:ascii="Arial" w:hAnsi="Arial" w:cs="Arial"/>
          <w:sz w:val="24"/>
          <w:szCs w:val="24"/>
        </w:rPr>
      </w:pPr>
      <w:r w:rsidRPr="00C458CC">
        <w:rPr>
          <w:rFonts w:ascii="Arial" w:hAnsi="Arial" w:cs="Arial"/>
          <w:sz w:val="24"/>
          <w:szCs w:val="24"/>
        </w:rPr>
        <w:t>Re-class long term treasury investments as commercial investments (not applicable)</w:t>
      </w:r>
    </w:p>
    <w:p w14:paraId="63D8114F" w14:textId="77777777" w:rsidR="00C458CC" w:rsidRDefault="00155F52" w:rsidP="00C458CC">
      <w:pPr>
        <w:pStyle w:val="ListParagraph"/>
        <w:numPr>
          <w:ilvl w:val="0"/>
          <w:numId w:val="20"/>
        </w:numPr>
        <w:autoSpaceDE w:val="0"/>
        <w:autoSpaceDN w:val="0"/>
        <w:adjustRightInd w:val="0"/>
        <w:spacing w:after="0" w:line="240" w:lineRule="auto"/>
        <w:ind w:right="-496"/>
        <w:jc w:val="both"/>
        <w:rPr>
          <w:rFonts w:ascii="Arial" w:hAnsi="Arial" w:cs="Arial"/>
          <w:sz w:val="24"/>
          <w:szCs w:val="24"/>
        </w:rPr>
      </w:pPr>
      <w:r w:rsidRPr="00C458CC">
        <w:rPr>
          <w:rFonts w:ascii="Arial" w:hAnsi="Arial" w:cs="Arial"/>
          <w:sz w:val="24"/>
          <w:szCs w:val="24"/>
        </w:rPr>
        <w:t>Pooled funds to be included in the indicator for principal sums maturing in year beyond the initial budget year (not applicable)</w:t>
      </w:r>
    </w:p>
    <w:p w14:paraId="6FF6D162" w14:textId="77777777" w:rsidR="00C458CC" w:rsidRDefault="00155F52" w:rsidP="00C458CC">
      <w:pPr>
        <w:pStyle w:val="ListParagraph"/>
        <w:numPr>
          <w:ilvl w:val="0"/>
          <w:numId w:val="20"/>
        </w:numPr>
        <w:autoSpaceDE w:val="0"/>
        <w:autoSpaceDN w:val="0"/>
        <w:adjustRightInd w:val="0"/>
        <w:spacing w:after="0" w:line="240" w:lineRule="auto"/>
        <w:ind w:right="-496"/>
        <w:jc w:val="both"/>
        <w:rPr>
          <w:rFonts w:ascii="Arial" w:hAnsi="Arial" w:cs="Arial"/>
          <w:sz w:val="24"/>
          <w:szCs w:val="24"/>
        </w:rPr>
      </w:pPr>
      <w:r w:rsidRPr="00C458CC">
        <w:rPr>
          <w:rFonts w:ascii="Arial" w:hAnsi="Arial" w:cs="Arial"/>
          <w:sz w:val="24"/>
          <w:szCs w:val="24"/>
        </w:rPr>
        <w:t>Amendments to the knowledge and skills register for those involved in the treasury management function (TMP6)</w:t>
      </w:r>
    </w:p>
    <w:p w14:paraId="4B9E9D4B" w14:textId="77777777" w:rsidR="00C458CC" w:rsidRDefault="00155F52" w:rsidP="00C458CC">
      <w:pPr>
        <w:pStyle w:val="ListParagraph"/>
        <w:numPr>
          <w:ilvl w:val="0"/>
          <w:numId w:val="20"/>
        </w:numPr>
        <w:autoSpaceDE w:val="0"/>
        <w:autoSpaceDN w:val="0"/>
        <w:adjustRightInd w:val="0"/>
        <w:spacing w:after="0" w:line="240" w:lineRule="auto"/>
        <w:ind w:right="-496"/>
        <w:jc w:val="both"/>
        <w:rPr>
          <w:rFonts w:ascii="Arial" w:hAnsi="Arial" w:cs="Arial"/>
          <w:sz w:val="24"/>
          <w:szCs w:val="24"/>
        </w:rPr>
      </w:pPr>
      <w:r w:rsidRPr="00C458CC">
        <w:rPr>
          <w:rFonts w:ascii="Arial" w:hAnsi="Arial" w:cs="Arial"/>
          <w:sz w:val="24"/>
          <w:szCs w:val="24"/>
        </w:rPr>
        <w:t>Report to members quarterly on indicator performance</w:t>
      </w:r>
    </w:p>
    <w:p w14:paraId="4D08D503" w14:textId="07B87CF6" w:rsidR="00155F52" w:rsidRPr="00C458CC" w:rsidRDefault="00155F52" w:rsidP="00C458CC">
      <w:pPr>
        <w:pStyle w:val="ListParagraph"/>
        <w:numPr>
          <w:ilvl w:val="0"/>
          <w:numId w:val="20"/>
        </w:numPr>
        <w:autoSpaceDE w:val="0"/>
        <w:autoSpaceDN w:val="0"/>
        <w:adjustRightInd w:val="0"/>
        <w:spacing w:after="0" w:line="240" w:lineRule="auto"/>
        <w:ind w:right="-496"/>
        <w:jc w:val="both"/>
        <w:rPr>
          <w:rFonts w:ascii="Arial" w:hAnsi="Arial" w:cs="Arial"/>
          <w:sz w:val="24"/>
          <w:szCs w:val="24"/>
        </w:rPr>
      </w:pPr>
      <w:r w:rsidRPr="00C458CC">
        <w:rPr>
          <w:rFonts w:ascii="Arial" w:hAnsi="Arial" w:cs="Arial"/>
          <w:sz w:val="24"/>
          <w:szCs w:val="24"/>
        </w:rPr>
        <w:t>Environmental, social and governance (ESG) issues to be addressed within the Authority’s treasury management policies and practices (TMP1)</w:t>
      </w:r>
    </w:p>
    <w:p w14:paraId="66E0BB1D" w14:textId="77777777" w:rsidR="00155F52" w:rsidRPr="00155F52" w:rsidRDefault="00155F52" w:rsidP="00155F52">
      <w:pPr>
        <w:autoSpaceDE w:val="0"/>
        <w:autoSpaceDN w:val="0"/>
        <w:adjustRightInd w:val="0"/>
        <w:spacing w:after="0" w:line="240" w:lineRule="auto"/>
        <w:ind w:left="720" w:right="-496" w:hanging="720"/>
        <w:jc w:val="both"/>
        <w:rPr>
          <w:rFonts w:ascii="Arial" w:hAnsi="Arial" w:cs="Arial"/>
          <w:sz w:val="24"/>
          <w:szCs w:val="24"/>
        </w:rPr>
      </w:pPr>
    </w:p>
    <w:p w14:paraId="56773E5F" w14:textId="77777777" w:rsidR="00155F52" w:rsidRPr="00155F52" w:rsidRDefault="00155F52" w:rsidP="00155F52">
      <w:pPr>
        <w:autoSpaceDE w:val="0"/>
        <w:autoSpaceDN w:val="0"/>
        <w:adjustRightInd w:val="0"/>
        <w:spacing w:after="0" w:line="240" w:lineRule="auto"/>
        <w:ind w:left="720" w:right="-496" w:hanging="720"/>
        <w:jc w:val="both"/>
        <w:rPr>
          <w:rFonts w:ascii="Arial" w:hAnsi="Arial" w:cs="Arial"/>
          <w:sz w:val="24"/>
          <w:szCs w:val="24"/>
        </w:rPr>
      </w:pPr>
      <w:r w:rsidRPr="00155F52">
        <w:rPr>
          <w:rFonts w:ascii="Arial" w:hAnsi="Arial" w:cs="Arial"/>
          <w:sz w:val="24"/>
          <w:szCs w:val="24"/>
        </w:rPr>
        <w:tab/>
        <w:t xml:space="preserve">In addition, this Strategy also complies with the CIPFA Treasury Management in Public Services Code of Practice and Cross-Sectoral Guidance Notes (“the TM Code”), and Guidance on Local Government Investments issued by the Secretary of State for Communities and Local Government under section 15(1)(a) of the Local Government Act 2003 (“the Guidance”). Specific decisions on the timing and amount of any borrowing will be made by the Authority’s Director, Finance and Corporate Services in line with the agreed Strategy. </w:t>
      </w:r>
    </w:p>
    <w:p w14:paraId="37A09F80" w14:textId="77777777" w:rsidR="00155F52" w:rsidRPr="00155F52" w:rsidRDefault="00155F52" w:rsidP="00155F52">
      <w:pPr>
        <w:autoSpaceDE w:val="0"/>
        <w:autoSpaceDN w:val="0"/>
        <w:adjustRightInd w:val="0"/>
        <w:spacing w:after="0" w:line="240" w:lineRule="auto"/>
        <w:ind w:left="720" w:right="-496" w:hanging="720"/>
        <w:jc w:val="both"/>
        <w:rPr>
          <w:rFonts w:ascii="Arial" w:hAnsi="Arial" w:cs="Arial"/>
          <w:sz w:val="24"/>
          <w:szCs w:val="24"/>
        </w:rPr>
      </w:pPr>
    </w:p>
    <w:p w14:paraId="2813B4F0" w14:textId="672B44F0" w:rsidR="00155F52" w:rsidRPr="00155F52" w:rsidRDefault="00155F52" w:rsidP="00155F52">
      <w:pPr>
        <w:autoSpaceDE w:val="0"/>
        <w:autoSpaceDN w:val="0"/>
        <w:adjustRightInd w:val="0"/>
        <w:spacing w:after="0" w:line="240" w:lineRule="auto"/>
        <w:ind w:left="720" w:right="-496" w:hanging="720"/>
        <w:jc w:val="both"/>
        <w:rPr>
          <w:rFonts w:ascii="Arial" w:eastAsia="Calibri" w:hAnsi="Arial" w:cs="Arial"/>
          <w:sz w:val="24"/>
        </w:rPr>
      </w:pPr>
      <w:r>
        <w:rPr>
          <w:rFonts w:ascii="Arial" w:hAnsi="Arial" w:cs="Arial"/>
          <w:sz w:val="24"/>
          <w:szCs w:val="24"/>
        </w:rPr>
        <w:tab/>
      </w:r>
      <w:r w:rsidRPr="00155F52">
        <w:rPr>
          <w:rFonts w:ascii="Arial" w:hAnsi="Arial" w:cs="Arial"/>
          <w:sz w:val="24"/>
          <w:szCs w:val="24"/>
        </w:rPr>
        <w:t>The Local Government Act 2003, section 15 (1)(a), gives local authorities the power to use capital receipts to fund certain categories of expenditure. Guidance around the flexible use of capital receipts was issued by The Secretary of State and was effective from the 1</w:t>
      </w:r>
      <w:r w:rsidRPr="00155F52">
        <w:rPr>
          <w:rFonts w:ascii="Arial" w:hAnsi="Arial" w:cs="Arial"/>
          <w:sz w:val="24"/>
          <w:szCs w:val="24"/>
          <w:vertAlign w:val="superscript"/>
        </w:rPr>
        <w:t>st</w:t>
      </w:r>
      <w:r w:rsidRPr="00155F52">
        <w:rPr>
          <w:rFonts w:ascii="Arial" w:hAnsi="Arial" w:cs="Arial"/>
          <w:sz w:val="24"/>
          <w:szCs w:val="24"/>
        </w:rPr>
        <w:t xml:space="preserve"> of April 2022. </w:t>
      </w:r>
      <w:r w:rsidRPr="00155F52">
        <w:rPr>
          <w:rFonts w:ascii="Arial" w:eastAsia="Calibri" w:hAnsi="Arial" w:cs="Arial"/>
          <w:sz w:val="24"/>
        </w:rPr>
        <w:t>The key criteria to use when deciding whether expenditure can be funded by the capital receipts flexibility is that it is forecast to generate ongoing savings to an authorities’, or several authorities, and/or to another public sector body’s net service expenditure. A list of types of projects that would qualify for the flexible use of capital receipts is included in the Guidance. These include investment in service reform feasibility work, the cost-of-service reconfiguration, restructuring or rationalisation, improving systems to tackle fraud and corruption, setting up commercial delivery models to deliver services more efficiently. If the Authority decides to use capital receipts flexibly on projects included in the guidance, it is required to produce a Flexible use of Capital Receipts Strategy.</w:t>
      </w:r>
    </w:p>
    <w:p w14:paraId="171120F3" w14:textId="77777777" w:rsidR="00155F52" w:rsidRDefault="00155F52" w:rsidP="00155F52">
      <w:pPr>
        <w:autoSpaceDE w:val="0"/>
        <w:autoSpaceDN w:val="0"/>
        <w:adjustRightInd w:val="0"/>
        <w:spacing w:after="0" w:line="240" w:lineRule="auto"/>
        <w:ind w:left="720" w:right="-496" w:hanging="720"/>
        <w:jc w:val="both"/>
        <w:rPr>
          <w:rFonts w:ascii="Arial" w:eastAsia="Calibri" w:hAnsi="Arial" w:cs="Arial"/>
          <w:sz w:val="24"/>
        </w:rPr>
      </w:pPr>
      <w:r w:rsidRPr="00155F52">
        <w:rPr>
          <w:rFonts w:ascii="Arial" w:eastAsia="Calibri" w:hAnsi="Arial" w:cs="Arial"/>
          <w:sz w:val="24"/>
        </w:rPr>
        <w:tab/>
        <w:t>It is not expected that the Authority will call upon the flexible use of capital receipts and will continue to use them to fund existing capital expenditure. As such a capital receipts strategy is not required.</w:t>
      </w:r>
    </w:p>
    <w:p w14:paraId="5319CF45" w14:textId="77777777" w:rsidR="00155F52" w:rsidRPr="00155F52" w:rsidRDefault="00155F52" w:rsidP="00155F52">
      <w:pPr>
        <w:autoSpaceDE w:val="0"/>
        <w:autoSpaceDN w:val="0"/>
        <w:adjustRightInd w:val="0"/>
        <w:spacing w:after="0" w:line="240" w:lineRule="auto"/>
        <w:ind w:left="720" w:right="-496" w:hanging="720"/>
        <w:jc w:val="both"/>
        <w:rPr>
          <w:rFonts w:ascii="Arial" w:eastAsia="Calibri" w:hAnsi="Arial" w:cs="Arial"/>
          <w:sz w:val="24"/>
        </w:rPr>
      </w:pPr>
    </w:p>
    <w:p w14:paraId="4FD1C665" w14:textId="3CA90138" w:rsidR="00155F52" w:rsidRPr="00155F52" w:rsidRDefault="00155F52" w:rsidP="00155F52">
      <w:pPr>
        <w:pStyle w:val="ListParagraph"/>
        <w:numPr>
          <w:ilvl w:val="0"/>
          <w:numId w:val="2"/>
        </w:numPr>
        <w:autoSpaceDE w:val="0"/>
        <w:autoSpaceDN w:val="0"/>
        <w:adjustRightInd w:val="0"/>
        <w:spacing w:after="0" w:line="240" w:lineRule="auto"/>
        <w:ind w:right="-496"/>
        <w:jc w:val="both"/>
        <w:rPr>
          <w:rFonts w:ascii="Arial" w:hAnsi="Arial" w:cs="Arial"/>
          <w:sz w:val="24"/>
          <w:szCs w:val="24"/>
        </w:rPr>
      </w:pPr>
      <w:r w:rsidRPr="00155F52">
        <w:rPr>
          <w:rFonts w:ascii="Arial" w:hAnsi="Arial" w:cs="Arial"/>
          <w:b/>
          <w:bCs/>
          <w:sz w:val="24"/>
          <w:szCs w:val="24"/>
        </w:rPr>
        <w:t>Governance</w:t>
      </w:r>
    </w:p>
    <w:p w14:paraId="3DB4F386" w14:textId="77777777" w:rsidR="00155F52" w:rsidRPr="00155F52" w:rsidRDefault="00155F52" w:rsidP="00155F52">
      <w:pPr>
        <w:autoSpaceDE w:val="0"/>
        <w:autoSpaceDN w:val="0"/>
        <w:adjustRightInd w:val="0"/>
        <w:spacing w:after="0" w:line="240" w:lineRule="auto"/>
        <w:ind w:right="-496" w:firstLine="720"/>
        <w:rPr>
          <w:rFonts w:ascii="Arial" w:hAnsi="Arial" w:cs="Arial"/>
          <w:b/>
          <w:bCs/>
          <w:sz w:val="24"/>
          <w:szCs w:val="24"/>
        </w:rPr>
      </w:pPr>
    </w:p>
    <w:p w14:paraId="61EF258F" w14:textId="5FF51237" w:rsidR="00155F52" w:rsidRPr="00155F52" w:rsidRDefault="00155F52" w:rsidP="00155F52">
      <w:pPr>
        <w:autoSpaceDE w:val="0"/>
        <w:autoSpaceDN w:val="0"/>
        <w:adjustRightInd w:val="0"/>
        <w:spacing w:after="0" w:line="240" w:lineRule="auto"/>
        <w:ind w:right="-496"/>
        <w:jc w:val="both"/>
        <w:rPr>
          <w:rFonts w:ascii="Arial" w:hAnsi="Arial" w:cs="Arial"/>
          <w:b/>
          <w:bCs/>
          <w:sz w:val="24"/>
          <w:szCs w:val="24"/>
        </w:rPr>
      </w:pPr>
      <w:r>
        <w:rPr>
          <w:rFonts w:ascii="Arial" w:hAnsi="Arial" w:cs="Arial"/>
          <w:sz w:val="24"/>
          <w:szCs w:val="24"/>
        </w:rPr>
        <w:tab/>
      </w:r>
      <w:r w:rsidRPr="00155F52">
        <w:rPr>
          <w:rFonts w:ascii="Arial" w:hAnsi="Arial" w:cs="Arial"/>
          <w:sz w:val="24"/>
          <w:szCs w:val="24"/>
        </w:rPr>
        <w:t>CIPFA’s Treasury Management in the Public Services: Code of Practice and Cross-</w:t>
      </w:r>
      <w:r w:rsidRPr="00155F52">
        <w:rPr>
          <w:rFonts w:ascii="Arial" w:hAnsi="Arial" w:cs="Arial"/>
          <w:sz w:val="24"/>
          <w:szCs w:val="24"/>
        </w:rPr>
        <w:tab/>
        <w:t xml:space="preserve">sectoral Guidance Notes (2021) requires public sector organisations to nominate a </w:t>
      </w:r>
      <w:r w:rsidRPr="00155F52">
        <w:rPr>
          <w:rFonts w:ascii="Arial" w:hAnsi="Arial" w:cs="Arial"/>
          <w:sz w:val="24"/>
          <w:szCs w:val="24"/>
        </w:rPr>
        <w:tab/>
        <w:t>responsible body for the scrutiny of treasury management strategy and policies.</w:t>
      </w:r>
      <w:r w:rsidRPr="00155F52">
        <w:rPr>
          <w:rFonts w:ascii="Arial" w:hAnsi="Arial" w:cs="Arial"/>
          <w:b/>
          <w:bCs/>
          <w:sz w:val="24"/>
          <w:szCs w:val="24"/>
        </w:rPr>
        <w:t xml:space="preserve"> </w:t>
      </w:r>
      <w:r w:rsidRPr="00155F52">
        <w:rPr>
          <w:rFonts w:ascii="Arial" w:hAnsi="Arial" w:cs="Arial"/>
          <w:sz w:val="24"/>
          <w:szCs w:val="24"/>
        </w:rPr>
        <w:t xml:space="preserve">The </w:t>
      </w:r>
      <w:r w:rsidRPr="00155F52">
        <w:rPr>
          <w:rFonts w:ascii="Arial" w:hAnsi="Arial" w:cs="Arial"/>
          <w:sz w:val="24"/>
          <w:szCs w:val="24"/>
        </w:rPr>
        <w:tab/>
        <w:t xml:space="preserve">Finance and Resources Committee is the nominated committee to </w:t>
      </w:r>
      <w:r w:rsidRPr="00155F52">
        <w:rPr>
          <w:rFonts w:ascii="Arial" w:hAnsi="Arial" w:cs="Arial"/>
          <w:sz w:val="24"/>
          <w:szCs w:val="24"/>
        </w:rPr>
        <w:tab/>
        <w:t xml:space="preserve">scrutinise treasury </w:t>
      </w:r>
      <w:r w:rsidRPr="00155F52">
        <w:rPr>
          <w:rFonts w:ascii="Arial" w:hAnsi="Arial" w:cs="Arial"/>
          <w:sz w:val="24"/>
          <w:szCs w:val="24"/>
        </w:rPr>
        <w:tab/>
        <w:t xml:space="preserve">management and to support this it receives and approves a </w:t>
      </w:r>
      <w:r w:rsidRPr="00155F52">
        <w:rPr>
          <w:rFonts w:ascii="Arial" w:hAnsi="Arial" w:cs="Arial"/>
          <w:sz w:val="24"/>
          <w:szCs w:val="24"/>
        </w:rPr>
        <w:tab/>
        <w:t xml:space="preserve">number of financial reports </w:t>
      </w:r>
      <w:r w:rsidRPr="00155F52">
        <w:rPr>
          <w:rFonts w:ascii="Arial" w:hAnsi="Arial" w:cs="Arial"/>
          <w:sz w:val="24"/>
          <w:szCs w:val="24"/>
        </w:rPr>
        <w:tab/>
        <w:t xml:space="preserve">each year, which cover the following: </w:t>
      </w:r>
    </w:p>
    <w:p w14:paraId="2E80BC89" w14:textId="77777777" w:rsidR="00155F52" w:rsidRPr="00155F52" w:rsidRDefault="00155F52" w:rsidP="00155F52">
      <w:pPr>
        <w:autoSpaceDE w:val="0"/>
        <w:autoSpaceDN w:val="0"/>
        <w:adjustRightInd w:val="0"/>
        <w:spacing w:after="0" w:line="240" w:lineRule="auto"/>
        <w:ind w:left="720" w:right="-496"/>
        <w:rPr>
          <w:rFonts w:ascii="Arial" w:hAnsi="Arial" w:cs="Arial"/>
          <w:sz w:val="24"/>
          <w:szCs w:val="24"/>
        </w:rPr>
      </w:pPr>
    </w:p>
    <w:p w14:paraId="1BCDA897" w14:textId="17DC40AB" w:rsidR="00155F52" w:rsidRPr="00155F52" w:rsidRDefault="00155F52" w:rsidP="00155F52">
      <w:pPr>
        <w:numPr>
          <w:ilvl w:val="0"/>
          <w:numId w:val="3"/>
        </w:numPr>
        <w:autoSpaceDE w:val="0"/>
        <w:autoSpaceDN w:val="0"/>
        <w:adjustRightInd w:val="0"/>
        <w:spacing w:after="0" w:line="240" w:lineRule="auto"/>
        <w:ind w:right="-496"/>
        <w:jc w:val="both"/>
        <w:rPr>
          <w:rFonts w:ascii="Arial" w:hAnsi="Arial" w:cs="Arial"/>
          <w:b/>
          <w:bCs/>
          <w:sz w:val="24"/>
          <w:szCs w:val="24"/>
        </w:rPr>
      </w:pPr>
      <w:r w:rsidRPr="00155F52">
        <w:rPr>
          <w:rFonts w:ascii="Arial" w:hAnsi="Arial" w:cs="Arial"/>
          <w:b/>
          <w:bCs/>
          <w:sz w:val="24"/>
          <w:szCs w:val="24"/>
        </w:rPr>
        <w:t xml:space="preserve">An Annual Treasury Management and Investment Strategy: </w:t>
      </w:r>
      <w:r w:rsidRPr="00155F52">
        <w:rPr>
          <w:rFonts w:ascii="Arial" w:hAnsi="Arial" w:cs="Arial"/>
          <w:sz w:val="24"/>
          <w:szCs w:val="24"/>
        </w:rPr>
        <w:t xml:space="preserve">This Strategy is reported annually to Full Authority in February. This Strategy includes: - </w:t>
      </w:r>
    </w:p>
    <w:p w14:paraId="3BC97402" w14:textId="77777777" w:rsidR="00155F52" w:rsidRPr="00155F52" w:rsidRDefault="00155F52" w:rsidP="00155F52">
      <w:pPr>
        <w:autoSpaceDE w:val="0"/>
        <w:autoSpaceDN w:val="0"/>
        <w:adjustRightInd w:val="0"/>
        <w:spacing w:after="107" w:line="240" w:lineRule="auto"/>
        <w:ind w:left="720" w:right="-496" w:firstLine="720"/>
        <w:rPr>
          <w:rFonts w:ascii="Arial" w:hAnsi="Arial" w:cs="Arial"/>
          <w:sz w:val="24"/>
          <w:szCs w:val="24"/>
        </w:rPr>
      </w:pPr>
      <w:r w:rsidRPr="00155F52">
        <w:rPr>
          <w:rFonts w:ascii="Arial" w:hAnsi="Arial" w:cs="Arial"/>
          <w:sz w:val="24"/>
          <w:szCs w:val="24"/>
        </w:rPr>
        <w:t xml:space="preserve">• the Capital Programme together with the appropriate prudential indicators. </w:t>
      </w:r>
    </w:p>
    <w:p w14:paraId="3A7451AF" w14:textId="77777777" w:rsidR="00155F52" w:rsidRPr="00155F52" w:rsidRDefault="00155F52" w:rsidP="00155F52">
      <w:pPr>
        <w:autoSpaceDE w:val="0"/>
        <w:autoSpaceDN w:val="0"/>
        <w:adjustRightInd w:val="0"/>
        <w:spacing w:after="107" w:line="240" w:lineRule="auto"/>
        <w:ind w:left="1560" w:right="-496" w:hanging="120"/>
        <w:rPr>
          <w:rFonts w:ascii="Arial" w:hAnsi="Arial" w:cs="Arial"/>
          <w:sz w:val="24"/>
          <w:szCs w:val="24"/>
        </w:rPr>
      </w:pPr>
      <w:r w:rsidRPr="00155F52">
        <w:rPr>
          <w:rFonts w:ascii="Arial" w:hAnsi="Arial" w:cs="Arial"/>
          <w:sz w:val="24"/>
          <w:szCs w:val="24"/>
        </w:rPr>
        <w:lastRenderedPageBreak/>
        <w:t xml:space="preserve">• the minimum revenue provision (MRP) policy, which details how residual capital expenditure is charged to revenue over time. </w:t>
      </w:r>
    </w:p>
    <w:p w14:paraId="1B6E8210" w14:textId="77777777" w:rsidR="00155F52" w:rsidRPr="00155F52" w:rsidRDefault="00155F52" w:rsidP="00155F52">
      <w:pPr>
        <w:autoSpaceDE w:val="0"/>
        <w:autoSpaceDN w:val="0"/>
        <w:adjustRightInd w:val="0"/>
        <w:spacing w:after="107" w:line="240" w:lineRule="auto"/>
        <w:ind w:left="1560" w:right="-496" w:hanging="120"/>
        <w:rPr>
          <w:rFonts w:ascii="Arial" w:hAnsi="Arial" w:cs="Arial"/>
          <w:sz w:val="24"/>
          <w:szCs w:val="24"/>
        </w:rPr>
      </w:pPr>
      <w:r w:rsidRPr="00155F52">
        <w:rPr>
          <w:rFonts w:ascii="Arial" w:hAnsi="Arial" w:cs="Arial"/>
          <w:sz w:val="24"/>
          <w:szCs w:val="24"/>
        </w:rPr>
        <w:t xml:space="preserve">• the Treasury Management Strategy, which defines not only how the investments and borrowings are to be organised, but also sets out the appropriate treasury indicators; and </w:t>
      </w:r>
    </w:p>
    <w:p w14:paraId="79807155" w14:textId="77777777" w:rsidR="00155F52" w:rsidRPr="00155F52" w:rsidRDefault="00155F52" w:rsidP="00155F52">
      <w:pPr>
        <w:autoSpaceDE w:val="0"/>
        <w:autoSpaceDN w:val="0"/>
        <w:adjustRightInd w:val="0"/>
        <w:spacing w:after="0" w:line="240" w:lineRule="auto"/>
        <w:ind w:left="1560" w:right="-496" w:hanging="120"/>
        <w:rPr>
          <w:rFonts w:ascii="Arial" w:hAnsi="Arial" w:cs="Arial"/>
          <w:sz w:val="24"/>
          <w:szCs w:val="24"/>
        </w:rPr>
      </w:pPr>
      <w:r w:rsidRPr="00155F52">
        <w:rPr>
          <w:rFonts w:ascii="Arial" w:hAnsi="Arial" w:cs="Arial"/>
          <w:sz w:val="24"/>
          <w:szCs w:val="24"/>
        </w:rPr>
        <w:t xml:space="preserve">• an Investment Strategy which sets out the parameters on how deposits are to be managed. </w:t>
      </w:r>
    </w:p>
    <w:p w14:paraId="4F88BBB2" w14:textId="77777777" w:rsidR="00155F52" w:rsidRPr="00155F52" w:rsidRDefault="00155F52" w:rsidP="00155F52">
      <w:pPr>
        <w:autoSpaceDE w:val="0"/>
        <w:autoSpaceDN w:val="0"/>
        <w:adjustRightInd w:val="0"/>
        <w:spacing w:after="0" w:line="240" w:lineRule="auto"/>
        <w:ind w:right="-496"/>
        <w:rPr>
          <w:rFonts w:ascii="Arial" w:hAnsi="Arial" w:cs="Arial"/>
          <w:sz w:val="24"/>
          <w:szCs w:val="24"/>
        </w:rPr>
      </w:pPr>
    </w:p>
    <w:p w14:paraId="4B957235" w14:textId="77777777" w:rsidR="00155F52" w:rsidRPr="00155F52" w:rsidRDefault="00155F52" w:rsidP="00155F52">
      <w:pPr>
        <w:autoSpaceDE w:val="0"/>
        <w:autoSpaceDN w:val="0"/>
        <w:adjustRightInd w:val="0"/>
        <w:spacing w:after="0" w:line="240" w:lineRule="auto"/>
        <w:ind w:left="720" w:right="-496"/>
        <w:jc w:val="both"/>
        <w:rPr>
          <w:rFonts w:ascii="Arial" w:hAnsi="Arial" w:cs="Arial"/>
          <w:sz w:val="24"/>
          <w:szCs w:val="24"/>
        </w:rPr>
      </w:pPr>
      <w:r w:rsidRPr="00155F52">
        <w:rPr>
          <w:rFonts w:ascii="Arial" w:hAnsi="Arial" w:cs="Arial"/>
          <w:sz w:val="24"/>
          <w:szCs w:val="24"/>
        </w:rPr>
        <w:t xml:space="preserve">(b) </w:t>
      </w:r>
      <w:r w:rsidRPr="00155F52">
        <w:rPr>
          <w:rFonts w:ascii="Arial" w:hAnsi="Arial" w:cs="Arial"/>
          <w:b/>
          <w:bCs/>
          <w:sz w:val="24"/>
          <w:szCs w:val="24"/>
        </w:rPr>
        <w:t xml:space="preserve">A Mid-year Treasury Management Report: </w:t>
      </w:r>
      <w:r w:rsidRPr="00155F52">
        <w:rPr>
          <w:rFonts w:ascii="Arial" w:hAnsi="Arial" w:cs="Arial"/>
          <w:sz w:val="24"/>
          <w:szCs w:val="24"/>
        </w:rPr>
        <w:t xml:space="preserve">This is presented to Finance and </w:t>
      </w:r>
      <w:r w:rsidRPr="00155F52">
        <w:rPr>
          <w:rFonts w:ascii="Arial" w:hAnsi="Arial" w:cs="Arial"/>
          <w:sz w:val="24"/>
          <w:szCs w:val="24"/>
        </w:rPr>
        <w:tab/>
        <w:t xml:space="preserve">Resources Committee in February and provides an update on current </w:t>
      </w:r>
      <w:r w:rsidRPr="00155F52">
        <w:rPr>
          <w:rFonts w:ascii="Arial" w:hAnsi="Arial" w:cs="Arial"/>
          <w:sz w:val="24"/>
          <w:szCs w:val="24"/>
        </w:rPr>
        <w:tab/>
        <w:t xml:space="preserve">investments </w:t>
      </w:r>
      <w:r w:rsidRPr="00155F52">
        <w:rPr>
          <w:rFonts w:ascii="Arial" w:hAnsi="Arial" w:cs="Arial"/>
          <w:sz w:val="24"/>
          <w:szCs w:val="24"/>
        </w:rPr>
        <w:tab/>
        <w:t xml:space="preserve">and borrowing, the Capital Programme, performance of </w:t>
      </w:r>
      <w:r w:rsidRPr="00155F52">
        <w:rPr>
          <w:rFonts w:ascii="Arial" w:hAnsi="Arial" w:cs="Arial"/>
          <w:sz w:val="24"/>
          <w:szCs w:val="24"/>
        </w:rPr>
        <w:tab/>
        <w:t xml:space="preserve">prudential indicators </w:t>
      </w:r>
    </w:p>
    <w:p w14:paraId="3F4B2D3A" w14:textId="77777777" w:rsidR="00155F52" w:rsidRPr="00155F52" w:rsidRDefault="00155F52" w:rsidP="00155F52">
      <w:pPr>
        <w:autoSpaceDE w:val="0"/>
        <w:autoSpaceDN w:val="0"/>
        <w:adjustRightInd w:val="0"/>
        <w:spacing w:after="0" w:line="240" w:lineRule="auto"/>
        <w:ind w:left="720" w:right="-496"/>
        <w:rPr>
          <w:rFonts w:ascii="Arial" w:hAnsi="Arial" w:cs="Arial"/>
          <w:sz w:val="24"/>
          <w:szCs w:val="24"/>
        </w:rPr>
      </w:pPr>
    </w:p>
    <w:p w14:paraId="4212D8F8" w14:textId="77777777" w:rsidR="00155F52" w:rsidRPr="00155F52" w:rsidRDefault="00155F52" w:rsidP="00155F52">
      <w:pPr>
        <w:autoSpaceDE w:val="0"/>
        <w:autoSpaceDN w:val="0"/>
        <w:adjustRightInd w:val="0"/>
        <w:spacing w:after="0" w:line="240" w:lineRule="auto"/>
        <w:ind w:left="720" w:right="-496"/>
        <w:jc w:val="both"/>
        <w:rPr>
          <w:rFonts w:ascii="Arial" w:hAnsi="Arial" w:cs="Arial"/>
          <w:sz w:val="24"/>
          <w:szCs w:val="24"/>
        </w:rPr>
      </w:pPr>
      <w:r w:rsidRPr="00155F52">
        <w:rPr>
          <w:rFonts w:ascii="Arial" w:hAnsi="Arial" w:cs="Arial"/>
          <w:sz w:val="24"/>
          <w:szCs w:val="24"/>
        </w:rPr>
        <w:t xml:space="preserve">(c) </w:t>
      </w:r>
      <w:r w:rsidRPr="00155F52">
        <w:rPr>
          <w:rFonts w:ascii="Arial" w:hAnsi="Arial" w:cs="Arial"/>
          <w:b/>
          <w:bCs/>
          <w:sz w:val="24"/>
          <w:szCs w:val="24"/>
        </w:rPr>
        <w:t xml:space="preserve">A Year-end Annual Report: </w:t>
      </w:r>
      <w:r w:rsidRPr="00155F52">
        <w:rPr>
          <w:rFonts w:ascii="Arial" w:hAnsi="Arial" w:cs="Arial"/>
          <w:sz w:val="24"/>
          <w:szCs w:val="24"/>
        </w:rPr>
        <w:t xml:space="preserve">This provides the final outturn position for the year </w:t>
      </w:r>
      <w:r w:rsidRPr="00155F52">
        <w:rPr>
          <w:rFonts w:ascii="Arial" w:hAnsi="Arial" w:cs="Arial"/>
          <w:sz w:val="24"/>
          <w:szCs w:val="24"/>
        </w:rPr>
        <w:tab/>
        <w:t xml:space="preserve">in relation to investments and deposits made during the year, prudential </w:t>
      </w:r>
      <w:r w:rsidRPr="00155F52">
        <w:rPr>
          <w:rFonts w:ascii="Arial" w:hAnsi="Arial" w:cs="Arial"/>
          <w:sz w:val="24"/>
          <w:szCs w:val="24"/>
        </w:rPr>
        <w:tab/>
        <w:t xml:space="preserve">and </w:t>
      </w:r>
      <w:r w:rsidRPr="00155F52">
        <w:rPr>
          <w:rFonts w:ascii="Arial" w:hAnsi="Arial" w:cs="Arial"/>
          <w:sz w:val="24"/>
          <w:szCs w:val="24"/>
        </w:rPr>
        <w:tab/>
        <w:t xml:space="preserve">treasury </w:t>
      </w:r>
      <w:r w:rsidRPr="00155F52">
        <w:rPr>
          <w:rFonts w:ascii="Arial" w:hAnsi="Arial" w:cs="Arial"/>
          <w:sz w:val="24"/>
          <w:szCs w:val="24"/>
        </w:rPr>
        <w:tab/>
        <w:t xml:space="preserve">indicators, and a summary of the actual treasury activity during </w:t>
      </w:r>
      <w:r w:rsidRPr="00155F52">
        <w:rPr>
          <w:rFonts w:ascii="Arial" w:hAnsi="Arial" w:cs="Arial"/>
          <w:sz w:val="24"/>
          <w:szCs w:val="24"/>
        </w:rPr>
        <w:tab/>
        <w:t>the year. This is reported to Finance and Resources Committee in July.</w:t>
      </w:r>
    </w:p>
    <w:p w14:paraId="681A8632" w14:textId="77777777" w:rsidR="00155F52" w:rsidRPr="00155F52" w:rsidRDefault="00155F52" w:rsidP="00155F52">
      <w:pPr>
        <w:autoSpaceDE w:val="0"/>
        <w:autoSpaceDN w:val="0"/>
        <w:adjustRightInd w:val="0"/>
        <w:spacing w:after="0" w:line="240" w:lineRule="auto"/>
        <w:ind w:right="-496"/>
        <w:jc w:val="both"/>
        <w:rPr>
          <w:rFonts w:ascii="Arial" w:hAnsi="Arial" w:cs="Arial"/>
          <w:sz w:val="24"/>
          <w:szCs w:val="24"/>
        </w:rPr>
      </w:pPr>
    </w:p>
    <w:p w14:paraId="5C9B1FC7" w14:textId="77777777" w:rsidR="00155F52" w:rsidRPr="00155F52" w:rsidRDefault="00155F52" w:rsidP="00155F52">
      <w:pPr>
        <w:autoSpaceDE w:val="0"/>
        <w:autoSpaceDN w:val="0"/>
        <w:adjustRightInd w:val="0"/>
        <w:spacing w:after="0" w:line="240" w:lineRule="auto"/>
        <w:ind w:right="-496"/>
        <w:jc w:val="both"/>
        <w:rPr>
          <w:rFonts w:ascii="Arial" w:hAnsi="Arial" w:cs="Arial"/>
          <w:sz w:val="24"/>
          <w:szCs w:val="24"/>
        </w:rPr>
      </w:pPr>
      <w:r w:rsidRPr="00155F52">
        <w:rPr>
          <w:rFonts w:ascii="Arial" w:hAnsi="Arial" w:cs="Arial"/>
          <w:sz w:val="24"/>
          <w:szCs w:val="24"/>
        </w:rPr>
        <w:tab/>
        <w:t xml:space="preserve">CIPFA has developed a self-assessment tool to support the development of </w:t>
      </w:r>
      <w:r w:rsidRPr="00155F52">
        <w:rPr>
          <w:rFonts w:ascii="Arial" w:hAnsi="Arial" w:cs="Arial"/>
          <w:sz w:val="24"/>
          <w:szCs w:val="24"/>
        </w:rPr>
        <w:tab/>
        <w:t xml:space="preserve">effective scrutiny. The Chief Finance and Procurement Officer (CPFO) will </w:t>
      </w:r>
      <w:r w:rsidRPr="00155F52">
        <w:rPr>
          <w:rFonts w:ascii="Arial" w:hAnsi="Arial" w:cs="Arial"/>
          <w:sz w:val="24"/>
          <w:szCs w:val="24"/>
        </w:rPr>
        <w:tab/>
        <w:t xml:space="preserve">undertake the self-assessment and report back to Finance and Resources </w:t>
      </w:r>
      <w:r w:rsidRPr="00155F52">
        <w:rPr>
          <w:rFonts w:ascii="Arial" w:hAnsi="Arial" w:cs="Arial"/>
          <w:sz w:val="24"/>
          <w:szCs w:val="24"/>
        </w:rPr>
        <w:tab/>
        <w:t>Committee in the new financial year.</w:t>
      </w:r>
    </w:p>
    <w:p w14:paraId="461EF98C" w14:textId="77777777" w:rsidR="00155F52" w:rsidRPr="00155F52" w:rsidRDefault="00155F52" w:rsidP="00155F52">
      <w:pPr>
        <w:autoSpaceDE w:val="0"/>
        <w:autoSpaceDN w:val="0"/>
        <w:adjustRightInd w:val="0"/>
        <w:spacing w:after="0" w:line="240" w:lineRule="auto"/>
        <w:ind w:right="-496"/>
        <w:jc w:val="both"/>
        <w:rPr>
          <w:rFonts w:ascii="Arial" w:hAnsi="Arial" w:cs="Arial"/>
          <w:sz w:val="24"/>
          <w:szCs w:val="24"/>
        </w:rPr>
      </w:pPr>
    </w:p>
    <w:p w14:paraId="2F43E75F" w14:textId="3762D628" w:rsidR="00155F52" w:rsidRPr="00155F52" w:rsidRDefault="00155F52" w:rsidP="00155F52">
      <w:pPr>
        <w:pStyle w:val="ListParagraph"/>
        <w:numPr>
          <w:ilvl w:val="0"/>
          <w:numId w:val="2"/>
        </w:numPr>
        <w:autoSpaceDE w:val="0"/>
        <w:autoSpaceDN w:val="0"/>
        <w:adjustRightInd w:val="0"/>
        <w:spacing w:after="0" w:line="240" w:lineRule="auto"/>
        <w:ind w:right="-496"/>
        <w:rPr>
          <w:rFonts w:ascii="Arial" w:hAnsi="Arial" w:cs="Arial"/>
          <w:b/>
          <w:bCs/>
          <w:sz w:val="24"/>
          <w:szCs w:val="24"/>
        </w:rPr>
      </w:pPr>
      <w:r w:rsidRPr="00155F52">
        <w:rPr>
          <w:rFonts w:ascii="Arial" w:hAnsi="Arial" w:cs="Arial"/>
          <w:b/>
          <w:bCs/>
          <w:sz w:val="24"/>
          <w:szCs w:val="24"/>
        </w:rPr>
        <w:t xml:space="preserve">External Support </w:t>
      </w:r>
    </w:p>
    <w:p w14:paraId="53E94758" w14:textId="77777777" w:rsidR="00155F52" w:rsidRPr="00155F52" w:rsidRDefault="00155F52" w:rsidP="00155F52">
      <w:pPr>
        <w:pStyle w:val="ListParagraph"/>
        <w:autoSpaceDE w:val="0"/>
        <w:autoSpaceDN w:val="0"/>
        <w:adjustRightInd w:val="0"/>
        <w:spacing w:after="0" w:line="240" w:lineRule="auto"/>
        <w:ind w:right="-496"/>
        <w:rPr>
          <w:rFonts w:ascii="Arial" w:hAnsi="Arial" w:cs="Arial"/>
          <w:sz w:val="24"/>
          <w:szCs w:val="24"/>
        </w:rPr>
      </w:pPr>
    </w:p>
    <w:p w14:paraId="5B100373" w14:textId="796E6362" w:rsidR="00155F52" w:rsidRPr="00155F52" w:rsidRDefault="00155F52" w:rsidP="00155F52">
      <w:pPr>
        <w:autoSpaceDE w:val="0"/>
        <w:autoSpaceDN w:val="0"/>
        <w:adjustRightInd w:val="0"/>
        <w:spacing w:after="0" w:line="240" w:lineRule="auto"/>
        <w:ind w:left="720" w:right="-496" w:hanging="720"/>
        <w:jc w:val="both"/>
        <w:rPr>
          <w:rFonts w:ascii="Arial" w:hAnsi="Arial" w:cs="Arial"/>
          <w:b/>
          <w:bCs/>
          <w:sz w:val="24"/>
          <w:szCs w:val="24"/>
        </w:rPr>
      </w:pPr>
      <w:r>
        <w:rPr>
          <w:rFonts w:ascii="Arial" w:hAnsi="Arial" w:cs="Arial"/>
          <w:sz w:val="24"/>
          <w:szCs w:val="24"/>
        </w:rPr>
        <w:tab/>
      </w:r>
      <w:r w:rsidRPr="00155F52">
        <w:rPr>
          <w:rFonts w:ascii="Arial" w:hAnsi="Arial" w:cs="Arial"/>
          <w:sz w:val="24"/>
          <w:szCs w:val="24"/>
        </w:rPr>
        <w:t xml:space="preserve">The Authority uses Link Group as its external Treasury Management Advisor. The Authority recognises that the responsibility for treasury management decisions remains with itself and will ensure that undue reliance is not placed upon the external advisor. The Authority appointed Link Group in July 2021 when the responsibility for Treasury Management was transferred to the Authority from Kirklees Council, where it was provided as a Service Level Agreement. </w:t>
      </w:r>
    </w:p>
    <w:p w14:paraId="106127C0" w14:textId="77777777" w:rsidR="00155F52" w:rsidRPr="00155F52" w:rsidRDefault="00155F52" w:rsidP="00155F52">
      <w:pPr>
        <w:autoSpaceDE w:val="0"/>
        <w:autoSpaceDN w:val="0"/>
        <w:adjustRightInd w:val="0"/>
        <w:spacing w:after="0" w:line="240" w:lineRule="auto"/>
        <w:ind w:left="720" w:right="-496"/>
        <w:rPr>
          <w:rFonts w:ascii="Arial" w:hAnsi="Arial" w:cs="Arial"/>
          <w:sz w:val="24"/>
          <w:szCs w:val="24"/>
        </w:rPr>
      </w:pPr>
    </w:p>
    <w:p w14:paraId="7A3EA379" w14:textId="77777777" w:rsidR="00155F52" w:rsidRPr="00155F52" w:rsidRDefault="00155F52" w:rsidP="00155F52">
      <w:pPr>
        <w:autoSpaceDE w:val="0"/>
        <w:autoSpaceDN w:val="0"/>
        <w:adjustRightInd w:val="0"/>
        <w:spacing w:after="0" w:line="240" w:lineRule="auto"/>
        <w:ind w:left="720" w:right="-496"/>
        <w:jc w:val="both"/>
        <w:rPr>
          <w:rFonts w:ascii="Arial" w:hAnsi="Arial" w:cs="Arial"/>
          <w:sz w:val="24"/>
          <w:szCs w:val="24"/>
        </w:rPr>
      </w:pPr>
      <w:r w:rsidRPr="00155F52">
        <w:rPr>
          <w:rFonts w:ascii="Arial" w:hAnsi="Arial" w:cs="Arial"/>
          <w:sz w:val="24"/>
          <w:szCs w:val="24"/>
        </w:rPr>
        <w:t>The CFPO and the treasury management accountant receive daily, weekly, and monthly reports on treasury management activity within the UK, Europe and Worldwide.</w:t>
      </w:r>
    </w:p>
    <w:p w14:paraId="0C2F5ADF" w14:textId="77777777" w:rsidR="00155F52" w:rsidRDefault="00155F52" w:rsidP="00155F52">
      <w:pPr>
        <w:autoSpaceDE w:val="0"/>
        <w:autoSpaceDN w:val="0"/>
        <w:adjustRightInd w:val="0"/>
        <w:spacing w:after="0" w:line="240" w:lineRule="auto"/>
        <w:ind w:right="-496"/>
        <w:rPr>
          <w:rFonts w:ascii="Arial" w:hAnsi="Arial" w:cs="Arial"/>
          <w:sz w:val="24"/>
          <w:szCs w:val="24"/>
        </w:rPr>
      </w:pPr>
    </w:p>
    <w:p w14:paraId="6AC82D81" w14:textId="0FBDCD32" w:rsidR="00155F52" w:rsidRDefault="00155F52" w:rsidP="00155F52">
      <w:pPr>
        <w:autoSpaceDE w:val="0"/>
        <w:autoSpaceDN w:val="0"/>
        <w:adjustRightInd w:val="0"/>
        <w:spacing w:after="0" w:line="240" w:lineRule="auto"/>
        <w:ind w:right="-496"/>
        <w:rPr>
          <w:rFonts w:ascii="Arial" w:eastAsia="Times New Roman" w:hAnsi="Arial" w:cs="Arial"/>
          <w:b/>
          <w:color w:val="000000"/>
          <w:sz w:val="24"/>
          <w:szCs w:val="24"/>
        </w:rPr>
      </w:pPr>
      <w:r>
        <w:rPr>
          <w:rFonts w:ascii="Arial" w:hAnsi="Arial" w:cs="Arial"/>
          <w:sz w:val="24"/>
          <w:szCs w:val="24"/>
        </w:rPr>
        <w:tab/>
      </w:r>
      <w:r w:rsidRPr="00155F52">
        <w:rPr>
          <w:rFonts w:ascii="Arial" w:eastAsia="Times New Roman" w:hAnsi="Arial" w:cs="Arial"/>
          <w:b/>
          <w:color w:val="000000"/>
          <w:sz w:val="24"/>
          <w:szCs w:val="24"/>
        </w:rPr>
        <w:t>Training</w:t>
      </w:r>
    </w:p>
    <w:p w14:paraId="5EF254D4" w14:textId="77777777" w:rsidR="00155F52" w:rsidRPr="00155F52" w:rsidRDefault="00155F52" w:rsidP="00155F52">
      <w:pPr>
        <w:autoSpaceDE w:val="0"/>
        <w:autoSpaceDN w:val="0"/>
        <w:adjustRightInd w:val="0"/>
        <w:spacing w:after="0" w:line="240" w:lineRule="auto"/>
        <w:ind w:right="-496"/>
        <w:rPr>
          <w:rFonts w:ascii="Arial" w:hAnsi="Arial" w:cs="Arial"/>
          <w:sz w:val="24"/>
          <w:szCs w:val="24"/>
        </w:rPr>
      </w:pPr>
    </w:p>
    <w:p w14:paraId="1C869EB5" w14:textId="77777777" w:rsidR="00155F52" w:rsidRPr="00155F52" w:rsidRDefault="00155F52" w:rsidP="00155F52">
      <w:pPr>
        <w:spacing w:before="45" w:after="45" w:line="240" w:lineRule="auto"/>
        <w:ind w:left="720" w:right="-496"/>
        <w:jc w:val="both"/>
        <w:rPr>
          <w:rFonts w:ascii="Arial" w:eastAsia="Times New Roman" w:hAnsi="Arial" w:cs="Arial"/>
          <w:spacing w:val="-5"/>
          <w:sz w:val="24"/>
          <w:szCs w:val="24"/>
        </w:rPr>
      </w:pPr>
      <w:r w:rsidRPr="00155F52">
        <w:rPr>
          <w:rFonts w:ascii="Arial" w:eastAsia="Times New Roman" w:hAnsi="Arial" w:cs="Arial"/>
          <w:spacing w:val="-5"/>
          <w:sz w:val="24"/>
          <w:szCs w:val="24"/>
        </w:rPr>
        <w:t>The CIPFA Code requires the responsible officer to ensure that members with responsibility for treasury management receive adequate training in treasury management.  This especially applies to members responsible for scrutiny. A training session was delivered by Link in October which was attended by both members and officers.</w:t>
      </w:r>
    </w:p>
    <w:p w14:paraId="0B03F4F3" w14:textId="77777777" w:rsidR="00155F52" w:rsidRDefault="00155F52" w:rsidP="00155F52">
      <w:pPr>
        <w:spacing w:before="45" w:after="45" w:line="240" w:lineRule="auto"/>
        <w:ind w:left="720" w:right="-496"/>
        <w:jc w:val="both"/>
        <w:rPr>
          <w:rFonts w:ascii="Arial" w:eastAsia="Times New Roman" w:hAnsi="Arial" w:cs="Arial"/>
          <w:spacing w:val="-5"/>
          <w:sz w:val="24"/>
          <w:szCs w:val="24"/>
        </w:rPr>
      </w:pPr>
      <w:r w:rsidRPr="00155F52">
        <w:rPr>
          <w:rFonts w:ascii="Arial" w:eastAsia="Times New Roman" w:hAnsi="Arial" w:cs="Arial"/>
          <w:spacing w:val="-5"/>
          <w:sz w:val="24"/>
          <w:szCs w:val="24"/>
        </w:rPr>
        <w:t xml:space="preserve">The training needs of treasury management officers is ongoing to ensure that knowledge is kept up to date. </w:t>
      </w:r>
    </w:p>
    <w:p w14:paraId="0728CE27" w14:textId="77777777" w:rsidR="00155F52" w:rsidRDefault="00155F52" w:rsidP="00155F52">
      <w:pPr>
        <w:spacing w:before="45" w:after="45" w:line="240" w:lineRule="auto"/>
        <w:ind w:left="720" w:right="-496"/>
        <w:jc w:val="both"/>
        <w:rPr>
          <w:rFonts w:ascii="Arial" w:eastAsia="Times New Roman" w:hAnsi="Arial" w:cs="Arial"/>
          <w:spacing w:val="-5"/>
          <w:sz w:val="24"/>
          <w:szCs w:val="24"/>
        </w:rPr>
      </w:pPr>
    </w:p>
    <w:p w14:paraId="326224F7" w14:textId="55727282" w:rsidR="00155F52" w:rsidRPr="00155F52" w:rsidRDefault="00155F52" w:rsidP="00155F52">
      <w:pPr>
        <w:pStyle w:val="ListParagraph"/>
        <w:numPr>
          <w:ilvl w:val="0"/>
          <w:numId w:val="2"/>
        </w:numPr>
        <w:spacing w:before="45" w:after="45" w:line="240" w:lineRule="auto"/>
        <w:ind w:right="-496"/>
        <w:jc w:val="both"/>
        <w:rPr>
          <w:rFonts w:ascii="Arial" w:eastAsia="Times New Roman" w:hAnsi="Arial" w:cs="Arial"/>
          <w:spacing w:val="-5"/>
          <w:sz w:val="24"/>
          <w:szCs w:val="24"/>
        </w:rPr>
      </w:pPr>
      <w:r w:rsidRPr="00155F52">
        <w:rPr>
          <w:rFonts w:ascii="Arial" w:eastAsiaTheme="majorEastAsia" w:hAnsi="Arial" w:cstheme="majorBidi"/>
          <w:b/>
          <w:sz w:val="24"/>
          <w:szCs w:val="24"/>
        </w:rPr>
        <w:t>Borrowing Strategy</w:t>
      </w:r>
    </w:p>
    <w:p w14:paraId="054582DE" w14:textId="77777777" w:rsidR="00155F52" w:rsidRPr="00155F52" w:rsidRDefault="00155F52" w:rsidP="00155F52">
      <w:pPr>
        <w:pStyle w:val="ListParagraph"/>
        <w:spacing w:before="45" w:after="45" w:line="240" w:lineRule="auto"/>
        <w:ind w:right="-496"/>
        <w:jc w:val="both"/>
        <w:rPr>
          <w:rFonts w:ascii="Arial" w:eastAsia="Times New Roman" w:hAnsi="Arial" w:cs="Arial"/>
          <w:spacing w:val="-5"/>
          <w:sz w:val="24"/>
          <w:szCs w:val="24"/>
        </w:rPr>
      </w:pPr>
    </w:p>
    <w:p w14:paraId="3FCAA114" w14:textId="47D1695E" w:rsidR="00155F52" w:rsidRPr="00155F52" w:rsidRDefault="00155F52" w:rsidP="00155F52">
      <w:pPr>
        <w:spacing w:after="220" w:line="240" w:lineRule="auto"/>
        <w:ind w:left="709" w:right="-496" w:hanging="709"/>
        <w:rPr>
          <w:rFonts w:ascii="Arial" w:hAnsi="Arial"/>
          <w:u w:val="single"/>
        </w:rPr>
      </w:pPr>
      <w:r>
        <w:rPr>
          <w:rFonts w:ascii="Arial" w:hAnsi="Arial"/>
        </w:rPr>
        <w:tab/>
      </w:r>
      <w:r w:rsidRPr="00155F52">
        <w:rPr>
          <w:rFonts w:ascii="Arial" w:hAnsi="Arial"/>
          <w:sz w:val="24"/>
          <w:szCs w:val="24"/>
          <w:u w:val="single"/>
        </w:rPr>
        <w:t>Borrowing Arrangements</w:t>
      </w:r>
    </w:p>
    <w:p w14:paraId="5B924AB7" w14:textId="77777777" w:rsidR="00155F52" w:rsidRPr="00155F52" w:rsidRDefault="00155F52" w:rsidP="00155F52">
      <w:pPr>
        <w:spacing w:after="220" w:line="240" w:lineRule="auto"/>
        <w:ind w:left="709" w:right="-496" w:hanging="709"/>
        <w:jc w:val="both"/>
        <w:rPr>
          <w:rFonts w:ascii="Arial" w:hAnsi="Arial"/>
        </w:rPr>
      </w:pPr>
      <w:r w:rsidRPr="00155F52">
        <w:rPr>
          <w:rFonts w:ascii="Arial" w:hAnsi="Arial"/>
        </w:rPr>
        <w:tab/>
      </w:r>
      <w:r w:rsidRPr="00155F52">
        <w:rPr>
          <w:rFonts w:ascii="Arial" w:hAnsi="Arial"/>
          <w:sz w:val="24"/>
          <w:szCs w:val="24"/>
        </w:rPr>
        <w:t xml:space="preserve">The Authority has been using its cash balances by deferring long term borrowing, no new long-term borrowing has been taken out since December 2011. Accountants engaged in treasury management monitor interest rates and receives advice from the Authority’s </w:t>
      </w:r>
      <w:r w:rsidRPr="00155F52">
        <w:rPr>
          <w:rFonts w:ascii="Arial" w:hAnsi="Arial"/>
          <w:sz w:val="24"/>
          <w:szCs w:val="24"/>
        </w:rPr>
        <w:lastRenderedPageBreak/>
        <w:t>Treasury Management Advisor on changes to market conditions, so that borrowing and investing activity can be undertaken at the most advantageous time. At the time of writing this report, it is not anticipated that the Authority will take out any new external borrowing until late 2024 / early 2025</w:t>
      </w:r>
      <w:r w:rsidRPr="00155F52">
        <w:rPr>
          <w:rFonts w:ascii="Arial" w:hAnsi="Arial"/>
        </w:rPr>
        <w:t>.</w:t>
      </w:r>
    </w:p>
    <w:p w14:paraId="16492F24" w14:textId="6B9EC8CD" w:rsidR="00155F52" w:rsidRPr="00155F52" w:rsidRDefault="00155F52" w:rsidP="00155F52">
      <w:pPr>
        <w:spacing w:after="0" w:line="240" w:lineRule="auto"/>
        <w:ind w:left="709" w:right="-496" w:hanging="709"/>
        <w:jc w:val="both"/>
        <w:rPr>
          <w:rFonts w:ascii="Arial" w:hAnsi="Arial"/>
          <w:sz w:val="24"/>
          <w:szCs w:val="24"/>
        </w:rPr>
      </w:pPr>
      <w:r>
        <w:rPr>
          <w:rFonts w:ascii="Arial" w:hAnsi="Arial"/>
          <w:sz w:val="24"/>
          <w:szCs w:val="24"/>
        </w:rPr>
        <w:tab/>
      </w:r>
      <w:r w:rsidRPr="00155F52">
        <w:rPr>
          <w:rFonts w:ascii="Arial" w:hAnsi="Arial"/>
          <w:sz w:val="24"/>
          <w:szCs w:val="24"/>
        </w:rPr>
        <w:t xml:space="preserve">When taking new borrowing, due attention will be paid to the Authority’s debt maturity profile. It is good practice to have a maturity profile for long-term debt which does not expose the Authority to a substantial borrowing requirement in years when interest rates may be at a relatively high level. In accordance with the requirements of the Code, the Authority sets out limits with respect to the maturity structure of its borrowing later in this report.  </w:t>
      </w:r>
    </w:p>
    <w:p w14:paraId="10A237B2" w14:textId="77777777" w:rsidR="00155F52" w:rsidRPr="00155F52" w:rsidRDefault="00155F52" w:rsidP="00155F52">
      <w:pPr>
        <w:spacing w:after="220" w:line="240" w:lineRule="auto"/>
        <w:ind w:right="-496"/>
        <w:rPr>
          <w:rFonts w:ascii="Arial" w:hAnsi="Arial"/>
          <w:sz w:val="24"/>
          <w:szCs w:val="24"/>
          <w:highlight w:val="yellow"/>
        </w:rPr>
      </w:pPr>
    </w:p>
    <w:p w14:paraId="3A3F634F" w14:textId="38E5BC4B" w:rsidR="00155F52" w:rsidRPr="00155F52" w:rsidRDefault="00155F52" w:rsidP="00155F52">
      <w:pPr>
        <w:spacing w:after="0" w:line="240" w:lineRule="auto"/>
        <w:ind w:left="709" w:right="-496" w:hanging="709"/>
        <w:jc w:val="both"/>
        <w:rPr>
          <w:rFonts w:ascii="Arial" w:hAnsi="Arial"/>
          <w:sz w:val="24"/>
          <w:szCs w:val="24"/>
        </w:rPr>
      </w:pPr>
      <w:r>
        <w:rPr>
          <w:rFonts w:ascii="Arial" w:hAnsi="Arial"/>
          <w:sz w:val="24"/>
          <w:szCs w:val="24"/>
        </w:rPr>
        <w:tab/>
      </w:r>
      <w:r w:rsidRPr="00155F52">
        <w:rPr>
          <w:rFonts w:ascii="Arial" w:hAnsi="Arial"/>
          <w:sz w:val="24"/>
          <w:szCs w:val="24"/>
        </w:rPr>
        <w:t>It is predicted that as at the 31 March 2023, the Authority will have total external borrowing and other long-term liabilities of around £43.9 million.</w:t>
      </w:r>
    </w:p>
    <w:p w14:paraId="2CD197A8" w14:textId="77777777" w:rsidR="00155F52" w:rsidRPr="00155F52" w:rsidRDefault="00155F52" w:rsidP="00155F52">
      <w:pPr>
        <w:spacing w:after="220" w:line="240" w:lineRule="auto"/>
        <w:ind w:left="720" w:right="-496"/>
        <w:rPr>
          <w:rFonts w:ascii="Arial" w:hAnsi="Arial"/>
          <w:sz w:val="24"/>
          <w:szCs w:val="24"/>
        </w:rPr>
      </w:pPr>
    </w:p>
    <w:p w14:paraId="7FB3C638" w14:textId="77777777" w:rsidR="00155F52" w:rsidRPr="00155F52" w:rsidRDefault="00155F52" w:rsidP="00155F52">
      <w:pPr>
        <w:spacing w:after="220" w:line="240" w:lineRule="auto"/>
        <w:ind w:left="720" w:right="-496"/>
        <w:rPr>
          <w:rFonts w:ascii="Arial" w:hAnsi="Arial"/>
          <w:sz w:val="24"/>
          <w:szCs w:val="24"/>
        </w:rPr>
      </w:pPr>
      <w:r w:rsidRPr="00155F52">
        <w:rPr>
          <w:rFonts w:ascii="Arial" w:hAnsi="Arial"/>
          <w:sz w:val="24"/>
          <w:szCs w:val="24"/>
        </w:rPr>
        <w:t>This is analysed as follows:</w:t>
      </w:r>
    </w:p>
    <w:p w14:paraId="2EC84968" w14:textId="77777777" w:rsidR="00155F52" w:rsidRPr="00155F52" w:rsidRDefault="00155F52" w:rsidP="00155F52">
      <w:pPr>
        <w:spacing w:after="220" w:line="240" w:lineRule="auto"/>
        <w:ind w:left="851" w:right="-496" w:hanging="851"/>
        <w:jc w:val="center"/>
        <w:rPr>
          <w:rFonts w:ascii="Arial" w:hAnsi="Arial"/>
        </w:rPr>
      </w:pPr>
      <w:r w:rsidRPr="00155F52">
        <w:rPr>
          <w:rFonts w:ascii="Arial" w:hAnsi="Arial"/>
          <w:noProof/>
        </w:rPr>
        <w:drawing>
          <wp:inline distT="0" distB="0" distL="0" distR="0" wp14:anchorId="761F8E82" wp14:editId="33AB17A6">
            <wp:extent cx="2914650" cy="1533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1533525"/>
                    </a:xfrm>
                    <a:prstGeom prst="rect">
                      <a:avLst/>
                    </a:prstGeom>
                    <a:noFill/>
                    <a:ln>
                      <a:noFill/>
                    </a:ln>
                  </pic:spPr>
                </pic:pic>
              </a:graphicData>
            </a:graphic>
          </wp:inline>
        </w:drawing>
      </w:r>
    </w:p>
    <w:p w14:paraId="54B4E662" w14:textId="2AE07FEC" w:rsidR="00155F52" w:rsidRPr="00155F52" w:rsidRDefault="00155F52" w:rsidP="00155F52">
      <w:pPr>
        <w:spacing w:after="220" w:line="240" w:lineRule="auto"/>
        <w:ind w:left="720" w:right="-496" w:hanging="720"/>
        <w:jc w:val="both"/>
        <w:rPr>
          <w:rFonts w:ascii="Arial" w:hAnsi="Arial"/>
          <w:sz w:val="24"/>
          <w:szCs w:val="24"/>
        </w:rPr>
      </w:pPr>
      <w:r>
        <w:rPr>
          <w:rFonts w:ascii="Arial" w:hAnsi="Arial"/>
        </w:rPr>
        <w:tab/>
      </w:r>
      <w:r w:rsidRPr="00155F52">
        <w:rPr>
          <w:rFonts w:ascii="Arial" w:hAnsi="Arial"/>
          <w:sz w:val="24"/>
          <w:szCs w:val="24"/>
        </w:rPr>
        <w:t xml:space="preserve">Historically, the biggest source of borrowing for local authorities has been PWLB loans. These Government loans have offered value for money and also flexibilities to restructure and make possible savings. Although, the Government decided to raise rates for new PWLB loans in October 2010 by around 0.90%, it has since introduced a discounted rate for local authorities joining the new “certainty rate” scheme. The Authority has joined the scheme and will have access to loans discounted by 0.20% in 2023/24. </w:t>
      </w:r>
    </w:p>
    <w:p w14:paraId="35E0697D" w14:textId="5FCB56B1" w:rsidR="00155F52" w:rsidRPr="00155F52" w:rsidRDefault="00155F52" w:rsidP="00155F52">
      <w:pPr>
        <w:spacing w:after="0" w:line="240" w:lineRule="auto"/>
        <w:ind w:left="720" w:right="-496" w:hanging="720"/>
        <w:jc w:val="both"/>
        <w:rPr>
          <w:rFonts w:ascii="Arial" w:hAnsi="Arial"/>
          <w:sz w:val="24"/>
          <w:szCs w:val="24"/>
        </w:rPr>
      </w:pPr>
      <w:r>
        <w:rPr>
          <w:rFonts w:ascii="Arial" w:hAnsi="Arial"/>
          <w:sz w:val="24"/>
          <w:szCs w:val="24"/>
        </w:rPr>
        <w:tab/>
      </w:r>
      <w:r w:rsidRPr="00155F52">
        <w:rPr>
          <w:rFonts w:ascii="Arial" w:hAnsi="Arial"/>
          <w:sz w:val="24"/>
          <w:szCs w:val="24"/>
        </w:rPr>
        <w:t>The Authority also has a LOBO (Lender’s Option, Borrower’s Option) loan. The way this loan works is that the Authority pays interest at a fixed rate for an initial period and then the lender has the option in the secondary period to increase the rate. If the option is exercised, the Authority can either accept the new rate or repay the loan. The Authority’s loan is in its secondary period with intervals of 5 years between options. The next option date is May 2026. There have been moves by some lenders to amend the terms of their LOBO loans to convert them to ‘vanilla’ fixed rate loans. No approach has yet been made by Dexia Credit Local, the lender to the Authority to amend any of the conditions of the loan.</w:t>
      </w:r>
    </w:p>
    <w:p w14:paraId="7D3BB42D" w14:textId="77777777" w:rsidR="00155F52" w:rsidRPr="00155F52" w:rsidRDefault="00155F52" w:rsidP="00155F52">
      <w:pPr>
        <w:spacing w:after="220" w:line="240" w:lineRule="auto"/>
        <w:ind w:right="-496"/>
        <w:contextualSpacing/>
        <w:rPr>
          <w:rFonts w:ascii="Arial" w:hAnsi="Arial"/>
          <w:sz w:val="24"/>
          <w:szCs w:val="24"/>
        </w:rPr>
      </w:pPr>
    </w:p>
    <w:p w14:paraId="767C2565" w14:textId="00CE6483" w:rsidR="00155F52" w:rsidRPr="00155F52" w:rsidRDefault="007C646A" w:rsidP="00155F52">
      <w:pPr>
        <w:spacing w:after="0" w:line="240" w:lineRule="auto"/>
        <w:ind w:left="720" w:right="-496" w:hanging="720"/>
        <w:jc w:val="both"/>
        <w:rPr>
          <w:rFonts w:ascii="Arial" w:hAnsi="Arial"/>
          <w:sz w:val="24"/>
          <w:szCs w:val="24"/>
        </w:rPr>
      </w:pPr>
      <w:r>
        <w:rPr>
          <w:rFonts w:ascii="Arial" w:hAnsi="Arial"/>
          <w:sz w:val="24"/>
          <w:szCs w:val="24"/>
        </w:rPr>
        <w:tab/>
      </w:r>
      <w:r w:rsidR="00155F52" w:rsidRPr="00155F52">
        <w:rPr>
          <w:rFonts w:ascii="Arial" w:hAnsi="Arial"/>
          <w:sz w:val="24"/>
          <w:szCs w:val="24"/>
        </w:rPr>
        <w:t>The Local Capital Finance Company was established in 2014 by the Local Government Association as an alternative source of Local Authority finance. It plans to issue bonds on the capital markets and lend the proceeds to Local Authorities. This will be a more complicated source of finance than the PWLB for two reasons: borrowing authorities may be required to provide bond investors with a joint and several guarantee over the very small risk that other Local Authority borrowers default on their loans; there will be a lead time of several months between committing to borrow and knowing the interest rate payable.</w:t>
      </w:r>
    </w:p>
    <w:p w14:paraId="13B3880F" w14:textId="77777777" w:rsidR="00155F52" w:rsidRPr="00155F52" w:rsidRDefault="00155F52" w:rsidP="00155F52">
      <w:pPr>
        <w:spacing w:after="220" w:line="240" w:lineRule="auto"/>
        <w:ind w:left="720" w:right="-496"/>
        <w:rPr>
          <w:rFonts w:ascii="Arial" w:hAnsi="Arial"/>
          <w:sz w:val="24"/>
          <w:szCs w:val="24"/>
        </w:rPr>
      </w:pPr>
    </w:p>
    <w:p w14:paraId="69775E5F" w14:textId="70D690D8" w:rsidR="00155F52" w:rsidRPr="00155F52" w:rsidRDefault="007C646A" w:rsidP="00155F52">
      <w:pPr>
        <w:spacing w:after="0" w:line="240" w:lineRule="auto"/>
        <w:ind w:left="720" w:right="-496" w:hanging="720"/>
        <w:jc w:val="both"/>
        <w:rPr>
          <w:rFonts w:ascii="Arial" w:hAnsi="Arial"/>
          <w:sz w:val="24"/>
          <w:szCs w:val="24"/>
        </w:rPr>
      </w:pPr>
      <w:r>
        <w:rPr>
          <w:rFonts w:ascii="Arial" w:hAnsi="Arial"/>
          <w:sz w:val="24"/>
          <w:szCs w:val="24"/>
        </w:rPr>
        <w:tab/>
      </w:r>
      <w:r w:rsidR="00155F52" w:rsidRPr="00155F52">
        <w:rPr>
          <w:rFonts w:ascii="Arial" w:hAnsi="Arial"/>
          <w:sz w:val="24"/>
          <w:szCs w:val="24"/>
        </w:rPr>
        <w:t xml:space="preserve">In terms of meeting the Authority’s borrowing requirement over the next five years, as short-term rates are forecast to stay low, it may be opportune to take short-term loans either at fixed or variable rates. However, with long term rates forecast to rise in the coming years, any such short-term savings will need to be balanced against potential longer-term costs.  </w:t>
      </w:r>
    </w:p>
    <w:p w14:paraId="236C41D3" w14:textId="77777777" w:rsidR="00155F52" w:rsidRPr="00155F52" w:rsidRDefault="00155F52" w:rsidP="00155F52">
      <w:pPr>
        <w:spacing w:after="0" w:line="240" w:lineRule="auto"/>
        <w:ind w:left="720" w:right="-496" w:hanging="720"/>
        <w:jc w:val="both"/>
        <w:rPr>
          <w:rFonts w:ascii="Arial" w:hAnsi="Arial"/>
          <w:sz w:val="24"/>
          <w:szCs w:val="24"/>
        </w:rPr>
      </w:pPr>
    </w:p>
    <w:p w14:paraId="0B25F0EE" w14:textId="77777777" w:rsidR="00155F52" w:rsidRPr="00155F52" w:rsidRDefault="00155F52" w:rsidP="00155F52">
      <w:pPr>
        <w:spacing w:after="220" w:line="240" w:lineRule="auto"/>
        <w:ind w:left="720" w:right="-496"/>
        <w:contextualSpacing/>
        <w:rPr>
          <w:rFonts w:ascii="Arial" w:hAnsi="Arial"/>
          <w:sz w:val="24"/>
          <w:szCs w:val="24"/>
        </w:rPr>
      </w:pPr>
      <w:r w:rsidRPr="00155F52">
        <w:rPr>
          <w:rFonts w:ascii="Arial" w:hAnsi="Arial"/>
          <w:sz w:val="24"/>
          <w:szCs w:val="24"/>
        </w:rPr>
        <w:t>The table below shows the forecast for PWLB bank rates to March 2025</w:t>
      </w:r>
    </w:p>
    <w:p w14:paraId="4998938E" w14:textId="77777777" w:rsidR="00155F52" w:rsidRPr="00155F52" w:rsidRDefault="00155F52" w:rsidP="00155F52">
      <w:pPr>
        <w:spacing w:after="220" w:line="240" w:lineRule="auto"/>
        <w:ind w:left="720" w:right="-496"/>
        <w:contextualSpacing/>
        <w:rPr>
          <w:rFonts w:ascii="Arial" w:hAnsi="Arial"/>
          <w:sz w:val="24"/>
          <w:szCs w:val="24"/>
        </w:rPr>
      </w:pPr>
    </w:p>
    <w:p w14:paraId="7D619828" w14:textId="77777777" w:rsidR="00155F52" w:rsidRPr="00155F52" w:rsidRDefault="00155F52" w:rsidP="00155F52">
      <w:pPr>
        <w:spacing w:after="0" w:line="240" w:lineRule="auto"/>
        <w:ind w:left="720" w:right="-496"/>
        <w:jc w:val="center"/>
        <w:rPr>
          <w:rFonts w:ascii="Arial" w:hAnsi="Arial"/>
          <w:sz w:val="24"/>
          <w:szCs w:val="24"/>
        </w:rPr>
      </w:pPr>
      <w:r w:rsidRPr="00155F52">
        <w:rPr>
          <w:rFonts w:ascii="Arial" w:hAnsi="Arial"/>
          <w:noProof/>
        </w:rPr>
        <w:drawing>
          <wp:inline distT="0" distB="0" distL="0" distR="0" wp14:anchorId="45B7100C" wp14:editId="1AEF86E9">
            <wp:extent cx="4277360" cy="11531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7360" cy="1153160"/>
                    </a:xfrm>
                    <a:prstGeom prst="rect">
                      <a:avLst/>
                    </a:prstGeom>
                    <a:noFill/>
                    <a:ln>
                      <a:noFill/>
                    </a:ln>
                  </pic:spPr>
                </pic:pic>
              </a:graphicData>
            </a:graphic>
          </wp:inline>
        </w:drawing>
      </w:r>
    </w:p>
    <w:p w14:paraId="2417341D" w14:textId="77777777" w:rsidR="00155F52" w:rsidRPr="00155F52" w:rsidRDefault="00155F52" w:rsidP="00155F52">
      <w:pPr>
        <w:spacing w:after="0" w:line="240" w:lineRule="auto"/>
        <w:ind w:left="720" w:right="-496"/>
        <w:rPr>
          <w:rFonts w:ascii="Arial" w:hAnsi="Arial"/>
          <w:sz w:val="24"/>
          <w:szCs w:val="24"/>
        </w:rPr>
      </w:pPr>
    </w:p>
    <w:p w14:paraId="2937007F" w14:textId="70785C96" w:rsidR="00155F52" w:rsidRPr="00155F52" w:rsidRDefault="007C646A" w:rsidP="00155F52">
      <w:pPr>
        <w:spacing w:after="0" w:line="240" w:lineRule="auto"/>
        <w:ind w:left="720" w:right="-496" w:hanging="720"/>
        <w:jc w:val="both"/>
        <w:rPr>
          <w:rFonts w:ascii="Arial" w:hAnsi="Arial"/>
          <w:sz w:val="24"/>
          <w:szCs w:val="24"/>
        </w:rPr>
      </w:pPr>
      <w:r>
        <w:rPr>
          <w:rFonts w:ascii="Arial" w:hAnsi="Arial"/>
          <w:sz w:val="24"/>
          <w:szCs w:val="24"/>
        </w:rPr>
        <w:tab/>
      </w:r>
      <w:r w:rsidR="00155F52" w:rsidRPr="00155F52">
        <w:rPr>
          <w:rFonts w:ascii="Arial" w:hAnsi="Arial"/>
          <w:sz w:val="24"/>
          <w:szCs w:val="24"/>
        </w:rPr>
        <w:t>The PWLB allows authorities to repay loans before maturity and either pay a premium or receive a discount according to a set formula based on current interest rates. The Authority may take advantage of this and replace some of the higher rate loans with new loans at lower interest rates where this will lead to an overall saving or reduce risk. A review is undertaken annually to assess if this is financially advantageous for the Authority, all reviews have concluded that it is not viable to repay existing loans.</w:t>
      </w:r>
    </w:p>
    <w:p w14:paraId="3E1AD84F" w14:textId="77777777" w:rsidR="00155F52" w:rsidRPr="00155F52" w:rsidRDefault="00155F52" w:rsidP="00155F52">
      <w:pPr>
        <w:spacing w:after="0" w:line="240" w:lineRule="auto"/>
        <w:ind w:left="720" w:right="-496"/>
        <w:rPr>
          <w:rFonts w:ascii="Arial" w:hAnsi="Arial"/>
          <w:sz w:val="24"/>
          <w:szCs w:val="24"/>
        </w:rPr>
      </w:pPr>
    </w:p>
    <w:p w14:paraId="26E9362D" w14:textId="204FE1FD" w:rsidR="00155F52" w:rsidRPr="00155F52" w:rsidRDefault="007C646A" w:rsidP="00155F52">
      <w:pPr>
        <w:spacing w:after="220" w:line="240" w:lineRule="auto"/>
        <w:ind w:right="-496"/>
        <w:rPr>
          <w:rFonts w:ascii="Arial" w:hAnsi="Arial"/>
          <w:sz w:val="24"/>
          <w:szCs w:val="24"/>
          <w:u w:val="single"/>
        </w:rPr>
      </w:pPr>
      <w:r>
        <w:rPr>
          <w:rFonts w:ascii="Arial" w:hAnsi="Arial"/>
          <w:sz w:val="24"/>
          <w:szCs w:val="24"/>
        </w:rPr>
        <w:tab/>
      </w:r>
      <w:r w:rsidR="00155F52" w:rsidRPr="00155F52">
        <w:rPr>
          <w:rFonts w:ascii="Arial" w:hAnsi="Arial"/>
          <w:sz w:val="24"/>
          <w:szCs w:val="24"/>
          <w:u w:val="single"/>
        </w:rPr>
        <w:t>Borrowing in Advance of Need</w:t>
      </w:r>
    </w:p>
    <w:p w14:paraId="5BD03044" w14:textId="77777777" w:rsidR="00155F52" w:rsidRPr="00155F52" w:rsidRDefault="00155F52" w:rsidP="00155F52">
      <w:pPr>
        <w:autoSpaceDE w:val="0"/>
        <w:autoSpaceDN w:val="0"/>
        <w:adjustRightInd w:val="0"/>
        <w:spacing w:after="0" w:line="240" w:lineRule="auto"/>
        <w:ind w:left="720" w:right="-496"/>
        <w:jc w:val="both"/>
        <w:rPr>
          <w:rFonts w:ascii="Arial" w:hAnsi="Arial" w:cs="Arial"/>
          <w:color w:val="000000"/>
          <w:sz w:val="24"/>
          <w:szCs w:val="24"/>
        </w:rPr>
      </w:pPr>
      <w:r w:rsidRPr="00155F52">
        <w:rPr>
          <w:rFonts w:ascii="Arial" w:hAnsi="Arial" w:cs="Arial"/>
          <w:color w:val="000000"/>
          <w:sz w:val="24"/>
          <w:szCs w:val="24"/>
        </w:rPr>
        <w:t>The Authority will not borrow in advance of its needs in order to profit from any short- term interest rate advantage. Any decision to borrow in advance will be within the approved Capital Financing Requirement estimates and will be considered carefully to ensure that value for money can be demonstrated and that the Authority can ensure the security of such funds. The risks associated with any borrowing in advance of activity will be subject to prior appraisal and subsequent reporting through the mid-year or annual treasury reports.</w:t>
      </w:r>
    </w:p>
    <w:p w14:paraId="5CD88B53" w14:textId="77777777" w:rsidR="00155F52" w:rsidRPr="00155F52" w:rsidRDefault="00155F52" w:rsidP="00155F52">
      <w:pPr>
        <w:autoSpaceDE w:val="0"/>
        <w:autoSpaceDN w:val="0"/>
        <w:adjustRightInd w:val="0"/>
        <w:spacing w:after="0" w:line="240" w:lineRule="auto"/>
        <w:ind w:left="720" w:right="-496"/>
        <w:rPr>
          <w:rFonts w:ascii="Arial" w:hAnsi="Arial" w:cs="Arial"/>
          <w:color w:val="000000"/>
          <w:sz w:val="24"/>
          <w:szCs w:val="24"/>
        </w:rPr>
      </w:pPr>
      <w:r w:rsidRPr="00155F52">
        <w:rPr>
          <w:rFonts w:ascii="Arial" w:hAnsi="Arial" w:cs="Arial"/>
          <w:color w:val="000000"/>
          <w:sz w:val="24"/>
          <w:szCs w:val="24"/>
        </w:rPr>
        <w:t xml:space="preserve"> </w:t>
      </w:r>
    </w:p>
    <w:p w14:paraId="7A65DB32" w14:textId="36AB43EB" w:rsidR="00155F52" w:rsidRPr="00155F52" w:rsidRDefault="007C646A" w:rsidP="00155F52">
      <w:pPr>
        <w:spacing w:after="220" w:line="240" w:lineRule="auto"/>
        <w:ind w:right="-496"/>
        <w:rPr>
          <w:rFonts w:ascii="Arial" w:hAnsi="Arial" w:cs="Arial"/>
          <w:color w:val="000000"/>
          <w:sz w:val="24"/>
          <w:szCs w:val="24"/>
          <w:u w:val="single"/>
        </w:rPr>
      </w:pPr>
      <w:r>
        <w:rPr>
          <w:rFonts w:ascii="Arial" w:hAnsi="Arial" w:cs="Arial"/>
          <w:color w:val="000000"/>
          <w:sz w:val="24"/>
          <w:szCs w:val="24"/>
        </w:rPr>
        <w:tab/>
      </w:r>
      <w:r w:rsidR="00155F52" w:rsidRPr="00155F52">
        <w:rPr>
          <w:rFonts w:ascii="Arial" w:hAnsi="Arial" w:cs="Arial"/>
          <w:color w:val="000000"/>
          <w:sz w:val="24"/>
          <w:szCs w:val="24"/>
          <w:u w:val="single"/>
        </w:rPr>
        <w:t>Debt Rescheduling</w:t>
      </w:r>
    </w:p>
    <w:p w14:paraId="30970A85" w14:textId="77777777" w:rsidR="00155F52" w:rsidRPr="00155F52" w:rsidRDefault="00155F52" w:rsidP="00155F52">
      <w:pPr>
        <w:spacing w:after="220" w:line="240" w:lineRule="auto"/>
        <w:ind w:left="720" w:right="-496"/>
        <w:contextualSpacing/>
        <w:jc w:val="both"/>
        <w:rPr>
          <w:rFonts w:ascii="Arial" w:hAnsi="Arial"/>
          <w:sz w:val="24"/>
          <w:szCs w:val="24"/>
        </w:rPr>
      </w:pPr>
      <w:r w:rsidRPr="00155F52">
        <w:rPr>
          <w:rFonts w:ascii="Arial" w:hAnsi="Arial" w:cs="Arial"/>
          <w:color w:val="000000"/>
          <w:sz w:val="24"/>
          <w:szCs w:val="24"/>
        </w:rPr>
        <w:t>Whilst short term interest rates continue to be considerably cheaper than longer term fixed interest rates, there may be potential opportunities to generate savings by switching from long term debt to short term debt. However, these savings will need to be considered in the light of the current treasury position and the size of the cost of the debt repayment (premiums incurred). The reasons for rescheduling may include the generation of cash savings in annual interest payments or to amend the maturity profile of the portfolio. The premium now charged by the PWLB generally makes restructuring debt for interest rate reasons unattractive. Consideration would be given to debt restructuring if there was a significant change in the PWLB’s policy. Any debt rescheduling will be reported to the Authority at the earliest opportunity following the rescheduling.</w:t>
      </w:r>
    </w:p>
    <w:p w14:paraId="2D7B65D0" w14:textId="77777777" w:rsidR="00155F52" w:rsidRPr="00155F52" w:rsidRDefault="00155F52" w:rsidP="00155F52">
      <w:pPr>
        <w:spacing w:after="220" w:line="240" w:lineRule="auto"/>
        <w:ind w:left="720" w:right="-496"/>
        <w:contextualSpacing/>
        <w:rPr>
          <w:rFonts w:ascii="Arial" w:hAnsi="Arial"/>
          <w:sz w:val="24"/>
          <w:szCs w:val="24"/>
        </w:rPr>
      </w:pPr>
    </w:p>
    <w:p w14:paraId="71FD99B4" w14:textId="3ABB6B5B" w:rsidR="00155F52" w:rsidRPr="00155F52" w:rsidRDefault="007C646A" w:rsidP="00155F52">
      <w:pPr>
        <w:spacing w:after="0" w:line="240" w:lineRule="auto"/>
        <w:ind w:left="720" w:right="-496" w:hanging="720"/>
        <w:rPr>
          <w:rFonts w:ascii="Arial" w:hAnsi="Arial"/>
          <w:sz w:val="24"/>
          <w:szCs w:val="24"/>
        </w:rPr>
      </w:pPr>
      <w:r>
        <w:rPr>
          <w:rFonts w:ascii="Arial" w:hAnsi="Arial"/>
          <w:sz w:val="24"/>
          <w:szCs w:val="24"/>
        </w:rPr>
        <w:tab/>
      </w:r>
      <w:r w:rsidR="00155F52" w:rsidRPr="00155F52">
        <w:rPr>
          <w:rFonts w:ascii="Arial" w:hAnsi="Arial"/>
          <w:sz w:val="24"/>
          <w:szCs w:val="24"/>
        </w:rPr>
        <w:t xml:space="preserve">Borrowing policy and performance will be continuously monitored throughout the year and </w:t>
      </w:r>
      <w:r>
        <w:rPr>
          <w:rFonts w:ascii="Arial" w:hAnsi="Arial"/>
          <w:sz w:val="24"/>
          <w:szCs w:val="24"/>
        </w:rPr>
        <w:t>is</w:t>
      </w:r>
      <w:r w:rsidR="00155F52" w:rsidRPr="00155F52">
        <w:rPr>
          <w:rFonts w:ascii="Arial" w:hAnsi="Arial"/>
          <w:sz w:val="24"/>
          <w:szCs w:val="24"/>
        </w:rPr>
        <w:t xml:space="preserve"> reported to Members. </w:t>
      </w:r>
    </w:p>
    <w:p w14:paraId="28FE70A0" w14:textId="77777777" w:rsidR="00155F52" w:rsidRDefault="00155F52" w:rsidP="00155F52">
      <w:pPr>
        <w:spacing w:after="220" w:line="240" w:lineRule="auto"/>
        <w:ind w:left="720" w:right="-496"/>
        <w:rPr>
          <w:rFonts w:ascii="Arial" w:hAnsi="Arial"/>
        </w:rPr>
      </w:pPr>
    </w:p>
    <w:p w14:paraId="286F5CC1" w14:textId="77777777" w:rsidR="007C646A" w:rsidRPr="00155F52" w:rsidRDefault="007C646A" w:rsidP="00155F52">
      <w:pPr>
        <w:spacing w:after="220" w:line="240" w:lineRule="auto"/>
        <w:ind w:left="720" w:right="-496"/>
        <w:rPr>
          <w:rFonts w:ascii="Arial" w:hAnsi="Arial"/>
        </w:rPr>
      </w:pPr>
    </w:p>
    <w:p w14:paraId="025E25D4" w14:textId="55824AB2" w:rsidR="00155F52" w:rsidRPr="007C646A" w:rsidRDefault="00155F52" w:rsidP="007C646A">
      <w:pPr>
        <w:pStyle w:val="ListParagraph"/>
        <w:keepNext/>
        <w:keepLines/>
        <w:numPr>
          <w:ilvl w:val="0"/>
          <w:numId w:val="2"/>
        </w:numPr>
        <w:spacing w:before="220" w:after="0" w:line="240" w:lineRule="auto"/>
        <w:ind w:right="-496"/>
        <w:outlineLvl w:val="1"/>
        <w:rPr>
          <w:rFonts w:ascii="Arial" w:eastAsiaTheme="majorEastAsia" w:hAnsi="Arial" w:cstheme="majorBidi"/>
          <w:b/>
          <w:sz w:val="24"/>
          <w:szCs w:val="24"/>
        </w:rPr>
      </w:pPr>
      <w:r w:rsidRPr="007C646A">
        <w:rPr>
          <w:rFonts w:ascii="Arial" w:eastAsiaTheme="majorEastAsia" w:hAnsi="Arial" w:cstheme="majorBidi"/>
          <w:b/>
          <w:sz w:val="24"/>
          <w:szCs w:val="24"/>
        </w:rPr>
        <w:t>Investment Strategy</w:t>
      </w:r>
    </w:p>
    <w:p w14:paraId="70DDDD5A" w14:textId="77777777" w:rsidR="00155F52" w:rsidRPr="00155F52" w:rsidRDefault="00155F52" w:rsidP="00155F52">
      <w:pPr>
        <w:spacing w:after="0" w:line="240" w:lineRule="auto"/>
        <w:ind w:left="530" w:right="-496"/>
        <w:contextualSpacing/>
        <w:rPr>
          <w:rFonts w:ascii="Arial" w:hAnsi="Arial"/>
          <w:b/>
          <w:sz w:val="28"/>
          <w:szCs w:val="28"/>
        </w:rPr>
      </w:pPr>
    </w:p>
    <w:p w14:paraId="0A81AD67" w14:textId="77777777" w:rsidR="00155F52" w:rsidRPr="00155F52" w:rsidRDefault="00155F52" w:rsidP="00155F52">
      <w:pPr>
        <w:spacing w:after="0" w:line="240" w:lineRule="auto"/>
        <w:ind w:right="-496" w:firstLine="720"/>
        <w:rPr>
          <w:rFonts w:ascii="Arial" w:hAnsi="Arial"/>
          <w:bCs/>
          <w:sz w:val="24"/>
          <w:szCs w:val="24"/>
          <w:u w:val="single"/>
        </w:rPr>
      </w:pPr>
      <w:r w:rsidRPr="00155F52">
        <w:rPr>
          <w:rFonts w:ascii="Arial" w:hAnsi="Arial"/>
          <w:bCs/>
          <w:sz w:val="24"/>
          <w:szCs w:val="24"/>
          <w:u w:val="single"/>
        </w:rPr>
        <w:t>Overview</w:t>
      </w:r>
    </w:p>
    <w:p w14:paraId="2BE5FB98" w14:textId="77777777" w:rsidR="00155F52" w:rsidRPr="00155F52" w:rsidRDefault="00155F52" w:rsidP="00155F52">
      <w:pPr>
        <w:spacing w:after="0" w:line="240" w:lineRule="auto"/>
        <w:ind w:right="-496" w:firstLine="530"/>
        <w:rPr>
          <w:rFonts w:ascii="Arial" w:hAnsi="Arial"/>
          <w:bCs/>
          <w:sz w:val="24"/>
          <w:szCs w:val="24"/>
        </w:rPr>
      </w:pPr>
    </w:p>
    <w:p w14:paraId="30F1D262" w14:textId="27CFDC94" w:rsidR="00155F52" w:rsidRPr="00155F52" w:rsidRDefault="007C646A" w:rsidP="00155F52">
      <w:pPr>
        <w:spacing w:after="0" w:line="240" w:lineRule="auto"/>
        <w:ind w:left="720" w:right="-496" w:hanging="720"/>
        <w:jc w:val="both"/>
        <w:rPr>
          <w:rFonts w:ascii="Arial" w:hAnsi="Arial" w:cs="Arial"/>
          <w:sz w:val="24"/>
          <w:szCs w:val="24"/>
        </w:rPr>
      </w:pPr>
      <w:r>
        <w:rPr>
          <w:rFonts w:ascii="Arial" w:hAnsi="Arial" w:cs="Arial"/>
          <w:sz w:val="24"/>
          <w:szCs w:val="24"/>
        </w:rPr>
        <w:tab/>
      </w:r>
      <w:r w:rsidR="00155F52" w:rsidRPr="00155F52">
        <w:rPr>
          <w:rFonts w:ascii="Arial" w:hAnsi="Arial" w:cs="Arial"/>
          <w:sz w:val="24"/>
          <w:szCs w:val="24"/>
        </w:rPr>
        <w:t xml:space="preserve">Investment guidance issued by the Department for Levelling Up Housing and Communities (DLUHC), requires that an investment strategy, outlining the Authority’s policies for managing investments in terms of risk, </w:t>
      </w:r>
      <w:r w:rsidRPr="00155F52">
        <w:rPr>
          <w:rFonts w:ascii="Arial" w:hAnsi="Arial" w:cs="Arial"/>
          <w:sz w:val="24"/>
          <w:szCs w:val="24"/>
        </w:rPr>
        <w:t>liquidity,</w:t>
      </w:r>
      <w:r w:rsidR="00155F52" w:rsidRPr="00155F52">
        <w:rPr>
          <w:rFonts w:ascii="Arial" w:hAnsi="Arial" w:cs="Arial"/>
          <w:sz w:val="24"/>
          <w:szCs w:val="24"/>
        </w:rPr>
        <w:t xml:space="preserve"> and yield, should be approved by full Authority or equivalent level, before the start of the financial year. This strategy can then only be varied during the year by the same executive body.</w:t>
      </w:r>
    </w:p>
    <w:p w14:paraId="4820BD1D" w14:textId="77777777" w:rsidR="00155F52" w:rsidRPr="00155F52" w:rsidRDefault="00155F52" w:rsidP="00155F52">
      <w:pPr>
        <w:autoSpaceDE w:val="0"/>
        <w:autoSpaceDN w:val="0"/>
        <w:adjustRightInd w:val="0"/>
        <w:spacing w:after="0" w:line="240" w:lineRule="auto"/>
        <w:ind w:left="720" w:right="-496" w:hanging="720"/>
        <w:rPr>
          <w:rFonts w:ascii="Arial" w:hAnsi="Arial" w:cs="Arial"/>
          <w:color w:val="000000"/>
          <w:sz w:val="24"/>
          <w:szCs w:val="24"/>
        </w:rPr>
      </w:pPr>
    </w:p>
    <w:p w14:paraId="2B03CE43" w14:textId="40672762" w:rsidR="00155F52" w:rsidRPr="00155F52" w:rsidRDefault="007C646A" w:rsidP="00155F52">
      <w:pPr>
        <w:autoSpaceDE w:val="0"/>
        <w:autoSpaceDN w:val="0"/>
        <w:adjustRightInd w:val="0"/>
        <w:spacing w:after="0" w:line="240" w:lineRule="auto"/>
        <w:ind w:left="720" w:right="-496" w:hanging="720"/>
        <w:jc w:val="both"/>
        <w:rPr>
          <w:rFonts w:ascii="Arial" w:hAnsi="Arial" w:cs="Arial"/>
          <w:color w:val="000000"/>
          <w:sz w:val="24"/>
          <w:szCs w:val="24"/>
        </w:rPr>
      </w:pPr>
      <w:r>
        <w:rPr>
          <w:rFonts w:ascii="Arial" w:hAnsi="Arial" w:cs="Arial"/>
          <w:color w:val="000000"/>
          <w:sz w:val="24"/>
          <w:szCs w:val="24"/>
        </w:rPr>
        <w:tab/>
      </w:r>
      <w:r w:rsidR="00155F52" w:rsidRPr="00155F52">
        <w:rPr>
          <w:rFonts w:ascii="Arial" w:hAnsi="Arial" w:cs="Arial"/>
          <w:color w:val="000000"/>
          <w:sz w:val="24"/>
          <w:szCs w:val="24"/>
        </w:rPr>
        <w:t>The Authority’s Investment Strategy has regard to:</w:t>
      </w:r>
    </w:p>
    <w:p w14:paraId="4C0CBA2E" w14:textId="77777777" w:rsidR="00155F52" w:rsidRPr="00155F52" w:rsidRDefault="00155F52" w:rsidP="00155F52">
      <w:pPr>
        <w:numPr>
          <w:ilvl w:val="0"/>
          <w:numId w:val="13"/>
        </w:numPr>
        <w:autoSpaceDE w:val="0"/>
        <w:autoSpaceDN w:val="0"/>
        <w:adjustRightInd w:val="0"/>
        <w:spacing w:after="0" w:line="240" w:lineRule="auto"/>
        <w:ind w:right="-496"/>
        <w:jc w:val="both"/>
        <w:rPr>
          <w:rFonts w:ascii="Arial" w:hAnsi="Arial" w:cs="Arial"/>
          <w:color w:val="000000"/>
          <w:sz w:val="24"/>
          <w:szCs w:val="24"/>
        </w:rPr>
      </w:pPr>
      <w:r w:rsidRPr="00155F52">
        <w:rPr>
          <w:rFonts w:ascii="Arial" w:hAnsi="Arial" w:cs="Arial"/>
          <w:color w:val="000000"/>
          <w:sz w:val="24"/>
          <w:szCs w:val="24"/>
        </w:rPr>
        <w:t xml:space="preserve">DLUHC’s guidance on Local Government investments (“the Guidance”) </w:t>
      </w:r>
    </w:p>
    <w:p w14:paraId="1F4F4863" w14:textId="77777777" w:rsidR="00155F52" w:rsidRPr="00155F52" w:rsidRDefault="00155F52" w:rsidP="00155F52">
      <w:pPr>
        <w:numPr>
          <w:ilvl w:val="0"/>
          <w:numId w:val="13"/>
        </w:numPr>
        <w:autoSpaceDE w:val="0"/>
        <w:autoSpaceDN w:val="0"/>
        <w:adjustRightInd w:val="0"/>
        <w:spacing w:after="0" w:line="240" w:lineRule="auto"/>
        <w:ind w:right="-496"/>
        <w:jc w:val="both"/>
        <w:rPr>
          <w:rFonts w:ascii="Arial" w:hAnsi="Arial" w:cs="Arial"/>
          <w:color w:val="000000"/>
          <w:sz w:val="24"/>
          <w:szCs w:val="24"/>
        </w:rPr>
      </w:pPr>
      <w:r w:rsidRPr="00155F52">
        <w:rPr>
          <w:rFonts w:ascii="Arial" w:hAnsi="Arial" w:cs="Arial"/>
          <w:color w:val="000000"/>
          <w:sz w:val="24"/>
          <w:szCs w:val="24"/>
        </w:rPr>
        <w:t xml:space="preserve">CIPFA Treasury Management in Public Services Code of Practice and Cross Sectoral Guidance Notes 2021 (“the Code”)  </w:t>
      </w:r>
    </w:p>
    <w:p w14:paraId="3F98B0FE" w14:textId="77777777" w:rsidR="00155F52" w:rsidRPr="00155F52" w:rsidRDefault="00155F52" w:rsidP="00155F52">
      <w:pPr>
        <w:numPr>
          <w:ilvl w:val="0"/>
          <w:numId w:val="13"/>
        </w:numPr>
        <w:autoSpaceDE w:val="0"/>
        <w:autoSpaceDN w:val="0"/>
        <w:adjustRightInd w:val="0"/>
        <w:spacing w:after="0" w:line="240" w:lineRule="auto"/>
        <w:ind w:right="-496"/>
        <w:jc w:val="both"/>
        <w:rPr>
          <w:rFonts w:ascii="Arial" w:hAnsi="Arial" w:cs="Arial"/>
          <w:color w:val="000000"/>
          <w:sz w:val="24"/>
          <w:szCs w:val="24"/>
        </w:rPr>
      </w:pPr>
      <w:r w:rsidRPr="00155F52">
        <w:rPr>
          <w:rFonts w:ascii="Arial" w:hAnsi="Arial" w:cs="Arial"/>
          <w:color w:val="000000"/>
          <w:sz w:val="24"/>
          <w:szCs w:val="24"/>
        </w:rPr>
        <w:t xml:space="preserve">CIPFA Treasury Management Guidance Notes 2021. </w:t>
      </w:r>
    </w:p>
    <w:p w14:paraId="5FCACE7F" w14:textId="77777777" w:rsidR="00155F52" w:rsidRPr="00155F52" w:rsidRDefault="00155F52" w:rsidP="00155F52">
      <w:pPr>
        <w:autoSpaceDE w:val="0"/>
        <w:autoSpaceDN w:val="0"/>
        <w:adjustRightInd w:val="0"/>
        <w:spacing w:after="0" w:line="240" w:lineRule="auto"/>
        <w:ind w:left="2160" w:right="-496"/>
        <w:jc w:val="both"/>
        <w:rPr>
          <w:rFonts w:ascii="Arial" w:hAnsi="Arial" w:cs="Arial"/>
          <w:color w:val="000000"/>
          <w:sz w:val="24"/>
          <w:szCs w:val="24"/>
        </w:rPr>
      </w:pPr>
    </w:p>
    <w:p w14:paraId="0260D042" w14:textId="77777777" w:rsidR="00155F52" w:rsidRPr="00155F52" w:rsidRDefault="00155F52" w:rsidP="00155F52">
      <w:pPr>
        <w:autoSpaceDE w:val="0"/>
        <w:autoSpaceDN w:val="0"/>
        <w:adjustRightInd w:val="0"/>
        <w:spacing w:after="0" w:line="240" w:lineRule="auto"/>
        <w:ind w:left="720" w:right="-496" w:hanging="720"/>
        <w:jc w:val="both"/>
        <w:rPr>
          <w:rFonts w:ascii="Arial" w:hAnsi="Arial" w:cs="Arial"/>
          <w:color w:val="000000"/>
          <w:sz w:val="24"/>
          <w:szCs w:val="24"/>
        </w:rPr>
      </w:pPr>
      <w:r w:rsidRPr="00155F52">
        <w:rPr>
          <w:rFonts w:ascii="Arial" w:hAnsi="Arial" w:cs="Arial"/>
          <w:color w:val="000000"/>
          <w:sz w:val="24"/>
          <w:szCs w:val="24"/>
        </w:rPr>
        <w:tab/>
        <w:t xml:space="preserve">The Investment Strategy has two main objectives: the first is security, in order to ensure that the capital sum is protected from loss; and the second is portfolio liquidity, in order to ensure that cash is available when needed. Only when the proper levels of security and portfolio liquidity have been determined can the Authority then consider the yield that can be obtained within these parameters. </w:t>
      </w:r>
    </w:p>
    <w:p w14:paraId="57221997" w14:textId="77777777" w:rsidR="00155F52" w:rsidRPr="00155F52" w:rsidRDefault="00155F52" w:rsidP="00155F52">
      <w:pPr>
        <w:autoSpaceDE w:val="0"/>
        <w:autoSpaceDN w:val="0"/>
        <w:adjustRightInd w:val="0"/>
        <w:spacing w:after="0" w:line="240" w:lineRule="auto"/>
        <w:ind w:left="720" w:right="-496" w:hanging="720"/>
        <w:jc w:val="both"/>
        <w:rPr>
          <w:rFonts w:ascii="Arial" w:hAnsi="Arial" w:cs="Arial"/>
          <w:color w:val="000000"/>
          <w:sz w:val="24"/>
          <w:szCs w:val="24"/>
        </w:rPr>
      </w:pPr>
    </w:p>
    <w:p w14:paraId="523C96BD" w14:textId="77777777" w:rsidR="00155F52" w:rsidRPr="00155F52" w:rsidRDefault="00155F52" w:rsidP="00155F52">
      <w:pPr>
        <w:autoSpaceDE w:val="0"/>
        <w:autoSpaceDN w:val="0"/>
        <w:adjustRightInd w:val="0"/>
        <w:spacing w:after="0" w:line="240" w:lineRule="auto"/>
        <w:ind w:left="720" w:right="-496"/>
        <w:jc w:val="both"/>
        <w:rPr>
          <w:rFonts w:ascii="Arial" w:hAnsi="Arial" w:cs="Arial"/>
          <w:color w:val="000000"/>
          <w:sz w:val="24"/>
          <w:szCs w:val="24"/>
        </w:rPr>
      </w:pPr>
      <w:r w:rsidRPr="00155F52">
        <w:rPr>
          <w:rFonts w:ascii="Arial" w:hAnsi="Arial" w:cs="Arial"/>
          <w:color w:val="000000"/>
          <w:sz w:val="24"/>
          <w:szCs w:val="24"/>
        </w:rPr>
        <w:t xml:space="preserve">The Authority will ensure that robust due diligence procedures cover all external investments. </w:t>
      </w:r>
    </w:p>
    <w:p w14:paraId="796FBC2E" w14:textId="77777777" w:rsidR="00155F52" w:rsidRPr="00155F52" w:rsidRDefault="00155F52" w:rsidP="00155F52">
      <w:pPr>
        <w:autoSpaceDE w:val="0"/>
        <w:autoSpaceDN w:val="0"/>
        <w:adjustRightInd w:val="0"/>
        <w:spacing w:after="0" w:line="240" w:lineRule="auto"/>
        <w:ind w:left="720" w:right="-496"/>
        <w:rPr>
          <w:rFonts w:ascii="Arial" w:hAnsi="Arial" w:cs="Arial"/>
          <w:color w:val="000000"/>
          <w:sz w:val="24"/>
          <w:szCs w:val="24"/>
        </w:rPr>
      </w:pPr>
    </w:p>
    <w:p w14:paraId="4E9323A6" w14:textId="77777777" w:rsidR="00155F52" w:rsidRPr="00155F52" w:rsidRDefault="00155F52" w:rsidP="00155F52">
      <w:pPr>
        <w:spacing w:after="0" w:line="240" w:lineRule="auto"/>
        <w:ind w:left="720" w:right="-496"/>
        <w:contextualSpacing/>
        <w:jc w:val="both"/>
        <w:rPr>
          <w:rFonts w:ascii="Arial" w:hAnsi="Arial"/>
          <w:sz w:val="24"/>
          <w:szCs w:val="24"/>
        </w:rPr>
      </w:pPr>
      <w:r w:rsidRPr="00155F52">
        <w:rPr>
          <w:rFonts w:ascii="Arial" w:hAnsi="Arial"/>
          <w:sz w:val="24"/>
          <w:szCs w:val="24"/>
        </w:rPr>
        <w:t>The Treasury Management Code of Practice details that the term “investments” used in the definition of treasury management activities also covers other non-financial assets which an organisation holds primarily for financial returns, such as investment property portfolios. The Authority does not hold non-financial assets primarily for financial returns, nor does it propose to do so.</w:t>
      </w:r>
    </w:p>
    <w:p w14:paraId="7DCB89B7" w14:textId="77777777" w:rsidR="00155F52" w:rsidRPr="00155F52" w:rsidRDefault="00155F52" w:rsidP="00155F52">
      <w:pPr>
        <w:spacing w:after="0" w:line="240" w:lineRule="auto"/>
        <w:ind w:left="720" w:right="-496"/>
        <w:contextualSpacing/>
        <w:jc w:val="both"/>
        <w:rPr>
          <w:rFonts w:ascii="Arial" w:hAnsi="Arial"/>
          <w:sz w:val="24"/>
          <w:szCs w:val="24"/>
        </w:rPr>
      </w:pPr>
    </w:p>
    <w:p w14:paraId="046F3FB3" w14:textId="77777777" w:rsidR="00155F52" w:rsidRPr="00155F52" w:rsidRDefault="00155F52" w:rsidP="00155F52">
      <w:pPr>
        <w:spacing w:after="0" w:line="240" w:lineRule="auto"/>
        <w:ind w:left="720" w:right="-496"/>
        <w:contextualSpacing/>
        <w:jc w:val="both"/>
        <w:rPr>
          <w:rFonts w:ascii="Arial" w:hAnsi="Arial"/>
          <w:sz w:val="24"/>
          <w:szCs w:val="24"/>
        </w:rPr>
      </w:pPr>
      <w:r w:rsidRPr="00155F52">
        <w:rPr>
          <w:rFonts w:ascii="Arial" w:hAnsi="Arial"/>
          <w:sz w:val="24"/>
          <w:szCs w:val="24"/>
        </w:rPr>
        <w:t>The guidance from DLUHC and CIPFA places a high priority on the management of risk. This Authority has adopted a prudent approach to managing risk and defines its risk appetite by the following means:</w:t>
      </w:r>
    </w:p>
    <w:p w14:paraId="3AEB6036" w14:textId="0CBDD981" w:rsidR="00155F52" w:rsidRPr="00155F52" w:rsidRDefault="00155F52" w:rsidP="00155F52">
      <w:pPr>
        <w:numPr>
          <w:ilvl w:val="0"/>
          <w:numId w:val="12"/>
        </w:numPr>
        <w:spacing w:after="0" w:line="240" w:lineRule="auto"/>
        <w:ind w:right="-496"/>
        <w:contextualSpacing/>
        <w:jc w:val="both"/>
        <w:rPr>
          <w:rFonts w:ascii="Arial" w:hAnsi="Arial"/>
          <w:bCs/>
          <w:sz w:val="24"/>
          <w:szCs w:val="24"/>
        </w:rPr>
      </w:pPr>
      <w:r w:rsidRPr="00155F52">
        <w:rPr>
          <w:rFonts w:ascii="Arial" w:hAnsi="Arial"/>
          <w:bCs/>
          <w:sz w:val="24"/>
          <w:szCs w:val="24"/>
        </w:rPr>
        <w:t xml:space="preserve">Minimum acceptable credit criteria are applied in order to generate a list of highly creditworthy </w:t>
      </w:r>
      <w:r w:rsidR="005E7CAD" w:rsidRPr="00155F52">
        <w:rPr>
          <w:rFonts w:ascii="Arial" w:hAnsi="Arial"/>
          <w:bCs/>
          <w:sz w:val="24"/>
          <w:szCs w:val="24"/>
        </w:rPr>
        <w:t>counterparties.</w:t>
      </w:r>
    </w:p>
    <w:p w14:paraId="72D6DB92" w14:textId="77777777" w:rsidR="00155F52" w:rsidRPr="00155F52" w:rsidRDefault="00155F52" w:rsidP="00155F52">
      <w:pPr>
        <w:numPr>
          <w:ilvl w:val="0"/>
          <w:numId w:val="12"/>
        </w:numPr>
        <w:spacing w:after="0" w:line="240" w:lineRule="auto"/>
        <w:ind w:right="-496"/>
        <w:jc w:val="both"/>
        <w:rPr>
          <w:rFonts w:ascii="Arial" w:hAnsi="Arial" w:cs="Arial"/>
          <w:sz w:val="24"/>
          <w:szCs w:val="24"/>
        </w:rPr>
      </w:pPr>
      <w:r w:rsidRPr="00155F52">
        <w:rPr>
          <w:rFonts w:ascii="Arial" w:hAnsi="Arial" w:cs="Arial"/>
          <w:sz w:val="24"/>
          <w:szCs w:val="24"/>
        </w:rPr>
        <w:t xml:space="preserve">Ratings will not be the sole determinant of the quality of an institution; it is important to continually assess and monitor the financial sector on both a micro and macro basis and in relation to the economic and political environments in which institutions operate. The assessment will also take account of information that reflects the opinion of the markets. To achieve this consideration the Authority will engage with its advisors to maintain a monitor on market pricing such as </w:t>
      </w:r>
      <w:r w:rsidRPr="00155F52">
        <w:rPr>
          <w:rFonts w:ascii="Arial" w:hAnsi="Arial" w:cs="Arial"/>
          <w:b/>
          <w:sz w:val="24"/>
          <w:szCs w:val="24"/>
        </w:rPr>
        <w:t>“</w:t>
      </w:r>
      <w:r w:rsidRPr="00155F52">
        <w:rPr>
          <w:rFonts w:ascii="Arial" w:hAnsi="Arial" w:cs="Arial"/>
          <w:bCs/>
          <w:sz w:val="24"/>
          <w:szCs w:val="24"/>
        </w:rPr>
        <w:t>credit default swaps</w:t>
      </w:r>
      <w:r w:rsidRPr="00155F52">
        <w:rPr>
          <w:rFonts w:ascii="Arial" w:hAnsi="Arial" w:cs="Arial"/>
          <w:b/>
          <w:sz w:val="24"/>
          <w:szCs w:val="24"/>
        </w:rPr>
        <w:t>”</w:t>
      </w:r>
      <w:r w:rsidRPr="00155F52">
        <w:rPr>
          <w:rFonts w:ascii="Arial" w:hAnsi="Arial" w:cs="Arial"/>
          <w:sz w:val="24"/>
          <w:szCs w:val="24"/>
        </w:rPr>
        <w:t xml:space="preserve"> and overlay that information on top of the credit ratings. </w:t>
      </w:r>
    </w:p>
    <w:p w14:paraId="37B255B8" w14:textId="77777777" w:rsidR="00155F52" w:rsidRPr="00155F52" w:rsidRDefault="00155F52" w:rsidP="00155F52">
      <w:pPr>
        <w:numPr>
          <w:ilvl w:val="0"/>
          <w:numId w:val="12"/>
        </w:numPr>
        <w:spacing w:after="0" w:line="240" w:lineRule="auto"/>
        <w:ind w:right="-496"/>
        <w:jc w:val="both"/>
        <w:rPr>
          <w:rFonts w:ascii="Arial" w:hAnsi="Arial" w:cs="Arial"/>
          <w:sz w:val="24"/>
          <w:szCs w:val="24"/>
        </w:rPr>
      </w:pPr>
      <w:r w:rsidRPr="00155F52">
        <w:rPr>
          <w:rFonts w:ascii="Arial" w:hAnsi="Arial" w:cs="Arial"/>
          <w:bCs/>
          <w:sz w:val="24"/>
          <w:szCs w:val="24"/>
        </w:rPr>
        <w:t>Other information sources</w:t>
      </w:r>
      <w:r w:rsidRPr="00155F52">
        <w:rPr>
          <w:rFonts w:ascii="Arial" w:hAnsi="Arial" w:cs="Arial"/>
          <w:sz w:val="24"/>
          <w:szCs w:val="24"/>
        </w:rPr>
        <w:t xml:space="preserve"> used will include the financial press, share price and other such information pertaining to the financial sector in order to establish the most robust scrutiny process on the suitability of potential investment counterparties.</w:t>
      </w:r>
    </w:p>
    <w:p w14:paraId="4F8F3A0D" w14:textId="77777777" w:rsidR="00155F52" w:rsidRPr="00155F52" w:rsidRDefault="00155F52" w:rsidP="00155F52">
      <w:pPr>
        <w:spacing w:after="0" w:line="240" w:lineRule="auto"/>
        <w:ind w:left="1440" w:right="-496"/>
        <w:contextualSpacing/>
        <w:jc w:val="both"/>
        <w:rPr>
          <w:rFonts w:ascii="Arial" w:hAnsi="Arial"/>
          <w:bCs/>
          <w:sz w:val="24"/>
          <w:szCs w:val="24"/>
        </w:rPr>
      </w:pPr>
    </w:p>
    <w:p w14:paraId="44B2E621" w14:textId="77777777" w:rsidR="00155F52" w:rsidRPr="00155F52" w:rsidRDefault="00155F52" w:rsidP="00155F52">
      <w:pPr>
        <w:spacing w:after="0" w:line="240" w:lineRule="auto"/>
        <w:ind w:left="530" w:right="-496"/>
        <w:contextualSpacing/>
        <w:rPr>
          <w:rFonts w:ascii="Arial" w:hAnsi="Arial"/>
          <w:b/>
          <w:sz w:val="28"/>
          <w:szCs w:val="28"/>
        </w:rPr>
      </w:pPr>
    </w:p>
    <w:p w14:paraId="1E335EED" w14:textId="06B472C9" w:rsidR="00155F52" w:rsidRPr="00155F52" w:rsidRDefault="005E7CAD" w:rsidP="00155F52">
      <w:pPr>
        <w:spacing w:after="0" w:line="240" w:lineRule="auto"/>
        <w:ind w:left="720" w:right="-496" w:hanging="720"/>
        <w:jc w:val="both"/>
        <w:rPr>
          <w:rFonts w:ascii="Arial" w:hAnsi="Arial"/>
          <w:sz w:val="24"/>
          <w:szCs w:val="24"/>
        </w:rPr>
      </w:pPr>
      <w:r>
        <w:rPr>
          <w:rFonts w:ascii="Arial" w:hAnsi="Arial"/>
          <w:sz w:val="24"/>
          <w:szCs w:val="24"/>
        </w:rPr>
        <w:lastRenderedPageBreak/>
        <w:tab/>
      </w:r>
      <w:r w:rsidR="00155F52" w:rsidRPr="00155F52">
        <w:rPr>
          <w:rFonts w:ascii="Arial" w:hAnsi="Arial"/>
          <w:sz w:val="24"/>
          <w:szCs w:val="24"/>
        </w:rPr>
        <w:t>As at the 31 March 2023, the Authority is expected to have around £52.0 million invested externally, primarily in instant access accounts or short-term deposits, with local authorities, major British owned banks, building societies or Money Market Funds (MMFs).  This will also ensure compliance with The Markets in Financial Instruments Directive II, whereby those maintaining a professional status must keep a minimum of £10 million invested at any point in time.</w:t>
      </w:r>
    </w:p>
    <w:p w14:paraId="33CD62E5" w14:textId="77777777" w:rsidR="00155F52" w:rsidRPr="00155F52" w:rsidRDefault="00155F52" w:rsidP="00155F52">
      <w:pPr>
        <w:spacing w:after="220" w:line="240" w:lineRule="auto"/>
        <w:ind w:left="720" w:right="-496"/>
        <w:rPr>
          <w:rFonts w:ascii="Arial" w:hAnsi="Arial"/>
        </w:rPr>
      </w:pPr>
    </w:p>
    <w:p w14:paraId="6957B8E4" w14:textId="5C200A58" w:rsidR="00155F52" w:rsidRPr="00155F52" w:rsidRDefault="005E7CAD" w:rsidP="00155F52">
      <w:pPr>
        <w:spacing w:after="220" w:line="240" w:lineRule="auto"/>
        <w:ind w:left="720" w:right="-496"/>
        <w:rPr>
          <w:rFonts w:ascii="Arial" w:hAnsi="Arial" w:cs="Arial"/>
          <w:sz w:val="24"/>
          <w:szCs w:val="24"/>
          <w:u w:val="single"/>
        </w:rPr>
      </w:pPr>
      <w:r>
        <w:rPr>
          <w:rFonts w:ascii="Arial" w:hAnsi="Arial" w:cs="Arial"/>
          <w:sz w:val="24"/>
          <w:szCs w:val="24"/>
          <w:u w:val="single"/>
        </w:rPr>
        <w:t xml:space="preserve">Investment </w:t>
      </w:r>
      <w:r w:rsidR="00155F52" w:rsidRPr="00155F52">
        <w:rPr>
          <w:rFonts w:ascii="Arial" w:hAnsi="Arial" w:cs="Arial"/>
          <w:sz w:val="24"/>
          <w:szCs w:val="24"/>
          <w:u w:val="single"/>
        </w:rPr>
        <w:t>Guidance</w:t>
      </w:r>
    </w:p>
    <w:p w14:paraId="655CEA87" w14:textId="1F3EBED3" w:rsidR="00155F52" w:rsidRPr="00155F52" w:rsidRDefault="005E7CAD" w:rsidP="00155F52">
      <w:pPr>
        <w:spacing w:after="0" w:line="240" w:lineRule="auto"/>
        <w:ind w:right="-496"/>
        <w:rPr>
          <w:rFonts w:ascii="Arial" w:hAnsi="Arial" w:cs="Arial"/>
          <w:sz w:val="24"/>
          <w:szCs w:val="24"/>
        </w:rPr>
      </w:pPr>
      <w:r>
        <w:rPr>
          <w:rFonts w:ascii="Arial" w:hAnsi="Arial" w:cs="Arial"/>
          <w:sz w:val="24"/>
          <w:szCs w:val="24"/>
        </w:rPr>
        <w:tab/>
      </w:r>
      <w:r w:rsidR="00155F52" w:rsidRPr="00155F52">
        <w:rPr>
          <w:rFonts w:ascii="Arial" w:hAnsi="Arial" w:cs="Arial"/>
          <w:sz w:val="24"/>
          <w:szCs w:val="24"/>
        </w:rPr>
        <w:t>The guidance splits investments into two types – specified and non-specified.</w:t>
      </w:r>
    </w:p>
    <w:p w14:paraId="389E25DE" w14:textId="77777777" w:rsidR="00155F52" w:rsidRPr="00155F52" w:rsidRDefault="00155F52" w:rsidP="00155F52">
      <w:pPr>
        <w:spacing w:after="220" w:line="240" w:lineRule="auto"/>
        <w:ind w:left="720" w:right="-496"/>
        <w:contextualSpacing/>
        <w:rPr>
          <w:rFonts w:ascii="Arial" w:hAnsi="Arial" w:cs="Arial"/>
          <w:sz w:val="24"/>
          <w:szCs w:val="24"/>
        </w:rPr>
      </w:pPr>
    </w:p>
    <w:p w14:paraId="261F93E9" w14:textId="77777777" w:rsidR="00155F52" w:rsidRPr="00155F52" w:rsidRDefault="00155F52" w:rsidP="00155F52">
      <w:pPr>
        <w:numPr>
          <w:ilvl w:val="0"/>
          <w:numId w:val="10"/>
        </w:numPr>
        <w:spacing w:after="0" w:line="240" w:lineRule="auto"/>
        <w:ind w:right="-496"/>
        <w:jc w:val="both"/>
        <w:rPr>
          <w:rFonts w:ascii="Arial" w:hAnsi="Arial" w:cs="Arial"/>
          <w:sz w:val="24"/>
          <w:szCs w:val="24"/>
          <w:u w:val="single"/>
        </w:rPr>
      </w:pPr>
      <w:r w:rsidRPr="00155F52">
        <w:rPr>
          <w:rFonts w:ascii="Arial" w:hAnsi="Arial" w:cs="Arial"/>
          <w:sz w:val="24"/>
          <w:szCs w:val="24"/>
          <w:u w:val="single"/>
        </w:rPr>
        <w:t>Specified investments</w:t>
      </w:r>
      <w:r w:rsidRPr="00155F52">
        <w:rPr>
          <w:rFonts w:ascii="Arial" w:hAnsi="Arial" w:cs="Arial"/>
          <w:sz w:val="24"/>
          <w:szCs w:val="24"/>
        </w:rPr>
        <w:t xml:space="preserve"> are those offering high security and liquidity. All such investments should be in sterling with a maturity of no more than a year. Investments made with the Government’s Debt Management Account Deposit Facility (DMADF) and a Local Authority automatically count as specified investments, as do investment with bodies or investment schemes of “high credit quality”. It is for individual authorities to determine what they regard as “high credit quality”.</w:t>
      </w:r>
    </w:p>
    <w:p w14:paraId="247A1874" w14:textId="77777777" w:rsidR="00155F52" w:rsidRPr="00155F52" w:rsidRDefault="00155F52" w:rsidP="00155F52">
      <w:pPr>
        <w:spacing w:after="220" w:line="240" w:lineRule="auto"/>
        <w:ind w:right="-496"/>
        <w:rPr>
          <w:rFonts w:ascii="Arial" w:hAnsi="Arial" w:cs="Arial"/>
          <w:sz w:val="24"/>
          <w:szCs w:val="24"/>
          <w:u w:val="single"/>
        </w:rPr>
      </w:pPr>
    </w:p>
    <w:p w14:paraId="7B08E690" w14:textId="77777777" w:rsidR="00155F52" w:rsidRPr="00155F52" w:rsidRDefault="00155F52" w:rsidP="00155F52">
      <w:pPr>
        <w:numPr>
          <w:ilvl w:val="0"/>
          <w:numId w:val="10"/>
        </w:numPr>
        <w:spacing w:after="0" w:line="240" w:lineRule="auto"/>
        <w:ind w:right="-496"/>
        <w:jc w:val="both"/>
        <w:rPr>
          <w:rFonts w:ascii="Arial" w:hAnsi="Arial" w:cs="Arial"/>
          <w:sz w:val="24"/>
          <w:szCs w:val="24"/>
          <w:u w:val="single"/>
        </w:rPr>
      </w:pPr>
      <w:r w:rsidRPr="00155F52">
        <w:rPr>
          <w:rFonts w:ascii="Arial" w:hAnsi="Arial" w:cs="Arial"/>
          <w:sz w:val="24"/>
          <w:szCs w:val="24"/>
          <w:u w:val="single"/>
        </w:rPr>
        <w:t>Non-specified investments</w:t>
      </w:r>
      <w:r w:rsidRPr="00155F52">
        <w:rPr>
          <w:rFonts w:ascii="Arial" w:hAnsi="Arial" w:cs="Arial"/>
          <w:sz w:val="24"/>
          <w:szCs w:val="24"/>
        </w:rPr>
        <w:t xml:space="preserve"> have greater potential risk, being investments with bodies that have a credit rating below “high credit quality”; bodies that are not credit rated at all; and investments over a year.</w:t>
      </w:r>
    </w:p>
    <w:p w14:paraId="1F822D02" w14:textId="77777777" w:rsidR="00155F52" w:rsidRPr="00155F52" w:rsidRDefault="00155F52" w:rsidP="00155F52">
      <w:pPr>
        <w:spacing w:after="220" w:line="240" w:lineRule="auto"/>
        <w:ind w:right="-496"/>
        <w:rPr>
          <w:rFonts w:ascii="Arial" w:hAnsi="Arial" w:cs="Arial"/>
          <w:sz w:val="24"/>
          <w:szCs w:val="24"/>
          <w:highlight w:val="yellow"/>
        </w:rPr>
      </w:pPr>
    </w:p>
    <w:p w14:paraId="60056198" w14:textId="1A74CE72" w:rsidR="00155F52" w:rsidRPr="00155F52" w:rsidRDefault="005E7CAD" w:rsidP="00155F52">
      <w:pPr>
        <w:spacing w:after="0" w:line="240" w:lineRule="auto"/>
        <w:ind w:left="720" w:right="-496" w:hanging="720"/>
        <w:jc w:val="both"/>
        <w:rPr>
          <w:rFonts w:ascii="Arial" w:hAnsi="Arial" w:cs="Arial"/>
          <w:sz w:val="24"/>
          <w:szCs w:val="24"/>
        </w:rPr>
      </w:pPr>
      <w:r>
        <w:rPr>
          <w:rFonts w:ascii="Arial" w:hAnsi="Arial" w:cs="Arial"/>
          <w:sz w:val="24"/>
          <w:szCs w:val="24"/>
        </w:rPr>
        <w:tab/>
      </w:r>
      <w:r w:rsidR="00155F52" w:rsidRPr="00155F52">
        <w:rPr>
          <w:rFonts w:ascii="Arial" w:hAnsi="Arial" w:cs="Arial"/>
          <w:sz w:val="24"/>
          <w:szCs w:val="24"/>
        </w:rPr>
        <w:t>It is estimated that the Authority could have up to £60 million to invest at times during the year which is a combination of cash received in advance, reserves and creditors.</w:t>
      </w:r>
    </w:p>
    <w:p w14:paraId="497DE314" w14:textId="77777777" w:rsidR="00155F52" w:rsidRPr="00155F52" w:rsidRDefault="00155F52" w:rsidP="00155F52">
      <w:pPr>
        <w:spacing w:after="220" w:line="240" w:lineRule="auto"/>
        <w:ind w:left="720" w:right="-496"/>
        <w:rPr>
          <w:rFonts w:ascii="Arial" w:hAnsi="Arial" w:cs="Arial"/>
          <w:sz w:val="24"/>
          <w:szCs w:val="24"/>
          <w:highlight w:val="yellow"/>
        </w:rPr>
      </w:pPr>
    </w:p>
    <w:p w14:paraId="7D7D4E74" w14:textId="77777777" w:rsidR="00155F52" w:rsidRPr="00155F52" w:rsidRDefault="00155F52" w:rsidP="00155F52">
      <w:pPr>
        <w:spacing w:after="0" w:line="240" w:lineRule="auto"/>
        <w:ind w:right="-496" w:firstLine="720"/>
        <w:rPr>
          <w:rFonts w:ascii="Arial" w:hAnsi="Arial" w:cs="Arial"/>
          <w:sz w:val="24"/>
          <w:szCs w:val="24"/>
          <w:u w:val="single"/>
        </w:rPr>
      </w:pPr>
      <w:r w:rsidRPr="00155F52">
        <w:rPr>
          <w:rFonts w:ascii="Arial" w:hAnsi="Arial" w:cs="Arial"/>
          <w:sz w:val="24"/>
          <w:szCs w:val="24"/>
          <w:u w:val="single"/>
        </w:rPr>
        <w:t>Strategy</w:t>
      </w:r>
    </w:p>
    <w:p w14:paraId="4B37B053" w14:textId="77777777" w:rsidR="00155F52" w:rsidRPr="00155F52" w:rsidRDefault="00155F52" w:rsidP="00155F52">
      <w:pPr>
        <w:spacing w:after="0" w:line="240" w:lineRule="auto"/>
        <w:ind w:right="-496" w:firstLine="720"/>
        <w:rPr>
          <w:rFonts w:ascii="Arial" w:hAnsi="Arial" w:cs="Arial"/>
          <w:sz w:val="24"/>
          <w:szCs w:val="24"/>
        </w:rPr>
      </w:pPr>
    </w:p>
    <w:p w14:paraId="3274477B" w14:textId="2B0CAFE8" w:rsidR="00155F52" w:rsidRPr="00155F52" w:rsidRDefault="00C05C4B" w:rsidP="00155F52">
      <w:pPr>
        <w:spacing w:after="0" w:line="240" w:lineRule="auto"/>
        <w:ind w:left="720" w:right="-496" w:hanging="720"/>
        <w:jc w:val="both"/>
        <w:rPr>
          <w:rFonts w:ascii="Arial" w:hAnsi="Arial" w:cs="Arial"/>
          <w:sz w:val="24"/>
          <w:szCs w:val="24"/>
        </w:rPr>
      </w:pPr>
      <w:r>
        <w:rPr>
          <w:rFonts w:ascii="Arial" w:hAnsi="Arial" w:cs="Arial"/>
          <w:sz w:val="24"/>
          <w:szCs w:val="24"/>
        </w:rPr>
        <w:tab/>
      </w:r>
      <w:r w:rsidR="00155F52" w:rsidRPr="00155F52">
        <w:rPr>
          <w:rFonts w:ascii="Arial" w:hAnsi="Arial" w:cs="Arial"/>
          <w:sz w:val="24"/>
          <w:szCs w:val="24"/>
        </w:rPr>
        <w:t>It is proposed to continue with a low-risk strategy in line with previous years and where possible to borrow internally. This will help in reducing the amount of money the Authority has invested at any one time and minimise the cost of borrowing.</w:t>
      </w:r>
    </w:p>
    <w:p w14:paraId="31E6FFAB" w14:textId="77777777" w:rsidR="00155F52" w:rsidRPr="00155F52" w:rsidRDefault="00155F52" w:rsidP="00155F52">
      <w:pPr>
        <w:spacing w:after="0" w:line="240" w:lineRule="auto"/>
        <w:ind w:left="720" w:right="-496" w:hanging="720"/>
        <w:rPr>
          <w:rFonts w:ascii="Arial" w:hAnsi="Arial" w:cs="Arial"/>
          <w:sz w:val="24"/>
          <w:szCs w:val="24"/>
        </w:rPr>
      </w:pPr>
    </w:p>
    <w:p w14:paraId="05EB0FA0" w14:textId="77777777" w:rsidR="00155F52" w:rsidRPr="00155F52" w:rsidRDefault="00155F52" w:rsidP="00155F52">
      <w:pPr>
        <w:spacing w:after="220" w:line="240" w:lineRule="auto"/>
        <w:ind w:left="720" w:right="-496"/>
        <w:rPr>
          <w:rFonts w:ascii="Arial" w:hAnsi="Arial" w:cs="Arial"/>
          <w:sz w:val="24"/>
          <w:szCs w:val="24"/>
        </w:rPr>
      </w:pPr>
      <w:r w:rsidRPr="00155F52">
        <w:rPr>
          <w:rFonts w:ascii="Arial" w:hAnsi="Arial" w:cs="Arial"/>
          <w:sz w:val="24"/>
          <w:szCs w:val="24"/>
        </w:rPr>
        <w:t>Key features of the strategy are as follows:</w:t>
      </w:r>
    </w:p>
    <w:p w14:paraId="25C33210" w14:textId="77777777" w:rsidR="00155F52" w:rsidRPr="00155F52" w:rsidRDefault="00155F52" w:rsidP="00155F52">
      <w:pPr>
        <w:spacing w:after="220" w:line="240" w:lineRule="auto"/>
        <w:ind w:left="720" w:right="-496"/>
        <w:rPr>
          <w:rFonts w:ascii="Arial" w:hAnsi="Arial" w:cs="Arial"/>
          <w:sz w:val="24"/>
          <w:szCs w:val="24"/>
          <w:u w:val="single"/>
        </w:rPr>
      </w:pPr>
      <w:r w:rsidRPr="00155F52">
        <w:rPr>
          <w:rFonts w:ascii="Arial" w:hAnsi="Arial" w:cs="Arial"/>
          <w:sz w:val="24"/>
          <w:szCs w:val="24"/>
          <w:u w:val="single"/>
        </w:rPr>
        <w:t>Specified Investments</w:t>
      </w:r>
    </w:p>
    <w:p w14:paraId="4C64477C" w14:textId="77777777" w:rsidR="00155F52" w:rsidRPr="00155F52" w:rsidRDefault="00155F52" w:rsidP="00155F52">
      <w:pPr>
        <w:numPr>
          <w:ilvl w:val="0"/>
          <w:numId w:val="9"/>
        </w:numPr>
        <w:spacing w:after="0" w:line="240" w:lineRule="auto"/>
        <w:ind w:left="1134" w:right="-496" w:hanging="425"/>
        <w:jc w:val="both"/>
        <w:rPr>
          <w:rFonts w:ascii="Arial" w:hAnsi="Arial" w:cs="Arial"/>
          <w:sz w:val="24"/>
          <w:szCs w:val="24"/>
        </w:rPr>
      </w:pPr>
      <w:r w:rsidRPr="00155F52">
        <w:rPr>
          <w:rFonts w:ascii="Arial" w:hAnsi="Arial" w:cs="Arial"/>
          <w:sz w:val="24"/>
          <w:szCs w:val="24"/>
        </w:rPr>
        <w:t>The Authority is able to invest up to £6 million on an instant access basis with foreign based banks with a “high to upper medium grade” credit rating.</w:t>
      </w:r>
    </w:p>
    <w:p w14:paraId="3E173850" w14:textId="77777777" w:rsidR="00155F52" w:rsidRPr="00155F52" w:rsidRDefault="00155F52" w:rsidP="00155F52">
      <w:pPr>
        <w:spacing w:after="220" w:line="240" w:lineRule="auto"/>
        <w:ind w:left="1134" w:right="-496"/>
        <w:rPr>
          <w:rFonts w:ascii="Arial" w:hAnsi="Arial" w:cs="Arial"/>
          <w:sz w:val="24"/>
          <w:szCs w:val="24"/>
        </w:rPr>
      </w:pPr>
    </w:p>
    <w:p w14:paraId="1BD82DDB" w14:textId="77777777" w:rsidR="00155F52" w:rsidRPr="00155F52" w:rsidRDefault="00155F52" w:rsidP="00155F52">
      <w:pPr>
        <w:numPr>
          <w:ilvl w:val="0"/>
          <w:numId w:val="9"/>
        </w:numPr>
        <w:spacing w:after="0" w:line="240" w:lineRule="auto"/>
        <w:ind w:left="1134" w:right="-496" w:hanging="425"/>
        <w:jc w:val="both"/>
        <w:rPr>
          <w:rFonts w:ascii="Arial" w:hAnsi="Arial" w:cs="Arial"/>
          <w:sz w:val="24"/>
          <w:szCs w:val="24"/>
        </w:rPr>
      </w:pPr>
      <w:r w:rsidRPr="00155F52">
        <w:rPr>
          <w:rFonts w:ascii="Arial" w:hAnsi="Arial" w:cs="Arial"/>
          <w:sz w:val="24"/>
          <w:szCs w:val="24"/>
        </w:rPr>
        <w:t xml:space="preserve">The Authority can invest up to £6 million in individual MMFs (instant access or two-day notice). MMFs are pooled investment vehicles, having the advantage of providing wide diversification of risk, coupled with the services of a professional fund manager. </w:t>
      </w:r>
    </w:p>
    <w:p w14:paraId="4F63E766" w14:textId="77777777" w:rsidR="00155F52" w:rsidRPr="00155F52" w:rsidRDefault="00155F52" w:rsidP="00155F52">
      <w:pPr>
        <w:spacing w:after="220" w:line="240" w:lineRule="auto"/>
        <w:ind w:left="720" w:right="-496"/>
        <w:contextualSpacing/>
        <w:rPr>
          <w:rFonts w:ascii="Arial" w:hAnsi="Arial" w:cs="Arial"/>
          <w:sz w:val="24"/>
          <w:szCs w:val="24"/>
        </w:rPr>
      </w:pPr>
    </w:p>
    <w:p w14:paraId="46B120C7" w14:textId="77777777" w:rsidR="00155F52" w:rsidRPr="00155F52" w:rsidRDefault="00155F52" w:rsidP="00155F52">
      <w:pPr>
        <w:numPr>
          <w:ilvl w:val="0"/>
          <w:numId w:val="9"/>
        </w:numPr>
        <w:spacing w:after="0" w:line="240" w:lineRule="auto"/>
        <w:ind w:left="1134" w:right="-496" w:hanging="425"/>
        <w:jc w:val="both"/>
        <w:rPr>
          <w:rFonts w:ascii="Arial" w:hAnsi="Arial" w:cs="Arial"/>
          <w:sz w:val="24"/>
          <w:szCs w:val="24"/>
        </w:rPr>
      </w:pPr>
      <w:r w:rsidRPr="00155F52">
        <w:rPr>
          <w:rFonts w:ascii="Arial" w:hAnsi="Arial" w:cs="Arial"/>
          <w:sz w:val="24"/>
          <w:szCs w:val="24"/>
        </w:rPr>
        <w:t>The Authority can invest in the Governments DMADF for up to 6 months.</w:t>
      </w:r>
    </w:p>
    <w:p w14:paraId="14433B47" w14:textId="77777777" w:rsidR="00155F52" w:rsidRPr="00155F52" w:rsidRDefault="00155F52" w:rsidP="00155F52">
      <w:pPr>
        <w:spacing w:after="220" w:line="240" w:lineRule="auto"/>
        <w:ind w:left="720" w:right="-496"/>
        <w:contextualSpacing/>
        <w:rPr>
          <w:rFonts w:ascii="Arial" w:hAnsi="Arial" w:cs="Arial"/>
          <w:sz w:val="24"/>
          <w:szCs w:val="24"/>
        </w:rPr>
      </w:pPr>
    </w:p>
    <w:p w14:paraId="7245C31E" w14:textId="77777777" w:rsidR="00155F52" w:rsidRPr="00155F52" w:rsidRDefault="00155F52" w:rsidP="00155F52">
      <w:pPr>
        <w:numPr>
          <w:ilvl w:val="0"/>
          <w:numId w:val="9"/>
        </w:numPr>
        <w:spacing w:after="0" w:line="240" w:lineRule="auto"/>
        <w:ind w:left="1134" w:right="-496" w:hanging="425"/>
        <w:rPr>
          <w:rFonts w:ascii="Arial" w:hAnsi="Arial" w:cs="Arial"/>
          <w:sz w:val="24"/>
          <w:szCs w:val="24"/>
        </w:rPr>
      </w:pPr>
      <w:r w:rsidRPr="00155F52">
        <w:rPr>
          <w:rFonts w:ascii="Arial" w:hAnsi="Arial" w:cs="Arial"/>
          <w:sz w:val="24"/>
          <w:szCs w:val="24"/>
        </w:rPr>
        <w:t>The Authority can invest in local authorities for up to 364 days.</w:t>
      </w:r>
      <w:bookmarkStart w:id="0" w:name="_Hlk59608266"/>
    </w:p>
    <w:bookmarkEnd w:id="0"/>
    <w:p w14:paraId="795B5C2B" w14:textId="77777777" w:rsidR="00155F52" w:rsidRPr="00155F52" w:rsidRDefault="00155F52" w:rsidP="00155F52">
      <w:pPr>
        <w:spacing w:after="220" w:line="240" w:lineRule="auto"/>
        <w:ind w:left="1134" w:right="-496"/>
        <w:rPr>
          <w:rFonts w:ascii="Arial" w:hAnsi="Arial" w:cs="Arial"/>
          <w:sz w:val="24"/>
          <w:szCs w:val="24"/>
        </w:rPr>
      </w:pPr>
    </w:p>
    <w:p w14:paraId="40EBCAA4" w14:textId="77777777" w:rsidR="00155F52" w:rsidRPr="00155F52" w:rsidRDefault="00155F52" w:rsidP="00155F52">
      <w:pPr>
        <w:spacing w:after="220" w:line="240" w:lineRule="auto"/>
        <w:ind w:right="-496" w:firstLine="709"/>
        <w:rPr>
          <w:rFonts w:ascii="Arial" w:hAnsi="Arial" w:cs="Arial"/>
          <w:sz w:val="24"/>
          <w:szCs w:val="24"/>
          <w:u w:val="single"/>
        </w:rPr>
      </w:pPr>
      <w:r w:rsidRPr="00155F52">
        <w:rPr>
          <w:rFonts w:ascii="Arial" w:hAnsi="Arial" w:cs="Arial"/>
          <w:sz w:val="24"/>
          <w:szCs w:val="24"/>
          <w:u w:val="single"/>
        </w:rPr>
        <w:t>Non-Specified Investments</w:t>
      </w:r>
    </w:p>
    <w:p w14:paraId="30C9DA82" w14:textId="77777777" w:rsidR="00155F52" w:rsidRPr="00155F52" w:rsidRDefault="00155F52" w:rsidP="00155F52">
      <w:pPr>
        <w:numPr>
          <w:ilvl w:val="0"/>
          <w:numId w:val="6"/>
        </w:numPr>
        <w:spacing w:after="0" w:line="240" w:lineRule="auto"/>
        <w:ind w:left="1080" w:right="-496"/>
        <w:jc w:val="both"/>
        <w:rPr>
          <w:rFonts w:ascii="Arial" w:hAnsi="Arial" w:cs="Arial"/>
          <w:sz w:val="24"/>
          <w:szCs w:val="24"/>
        </w:rPr>
      </w:pPr>
      <w:r w:rsidRPr="00155F52">
        <w:rPr>
          <w:rFonts w:ascii="Arial" w:hAnsi="Arial" w:cs="Arial"/>
          <w:sz w:val="24"/>
          <w:szCs w:val="24"/>
        </w:rPr>
        <w:lastRenderedPageBreak/>
        <w:t xml:space="preserve">The Authority is able to invest up to £1 million and up to two months with individual UK banks and building societies with a “medium grade” credit rating.  </w:t>
      </w:r>
    </w:p>
    <w:p w14:paraId="4AD07A67" w14:textId="77777777" w:rsidR="00155F52" w:rsidRPr="00155F52" w:rsidRDefault="00155F52" w:rsidP="00155F52">
      <w:pPr>
        <w:spacing w:after="220" w:line="240" w:lineRule="auto"/>
        <w:ind w:left="1080" w:right="-496"/>
        <w:rPr>
          <w:rFonts w:ascii="Arial" w:hAnsi="Arial" w:cs="Arial"/>
          <w:sz w:val="24"/>
          <w:szCs w:val="24"/>
        </w:rPr>
      </w:pPr>
    </w:p>
    <w:p w14:paraId="3AF49EB4" w14:textId="77777777" w:rsidR="00155F52" w:rsidRPr="00155F52" w:rsidRDefault="00155F52" w:rsidP="00155F52">
      <w:pPr>
        <w:numPr>
          <w:ilvl w:val="0"/>
          <w:numId w:val="6"/>
        </w:numPr>
        <w:spacing w:after="0" w:line="240" w:lineRule="auto"/>
        <w:ind w:left="1080" w:right="-496"/>
        <w:rPr>
          <w:rFonts w:ascii="Arial" w:hAnsi="Arial" w:cs="Arial"/>
          <w:sz w:val="24"/>
          <w:szCs w:val="24"/>
        </w:rPr>
      </w:pPr>
      <w:r w:rsidRPr="00155F52">
        <w:rPr>
          <w:rFonts w:ascii="Arial" w:hAnsi="Arial" w:cs="Arial"/>
          <w:sz w:val="24"/>
          <w:szCs w:val="24"/>
        </w:rPr>
        <w:t>The Authority adopts an overall limit for non-specified investments of £2 million.</w:t>
      </w:r>
    </w:p>
    <w:p w14:paraId="55793EB3" w14:textId="77777777" w:rsidR="00155F52" w:rsidRPr="00155F52" w:rsidRDefault="00155F52" w:rsidP="00155F52">
      <w:pPr>
        <w:spacing w:after="220" w:line="240" w:lineRule="auto"/>
        <w:ind w:left="720" w:right="-496"/>
        <w:rPr>
          <w:rFonts w:ascii="Arial" w:hAnsi="Arial" w:cs="Arial"/>
          <w:sz w:val="24"/>
          <w:szCs w:val="24"/>
        </w:rPr>
      </w:pPr>
    </w:p>
    <w:p w14:paraId="276734AB" w14:textId="7B4B31B9" w:rsidR="00155F52" w:rsidRPr="00155F52" w:rsidRDefault="00C05C4B" w:rsidP="00155F52">
      <w:pPr>
        <w:spacing w:after="0" w:line="240" w:lineRule="auto"/>
        <w:ind w:left="720" w:right="-496" w:hanging="720"/>
        <w:jc w:val="both"/>
        <w:rPr>
          <w:rFonts w:ascii="Arial" w:hAnsi="Arial" w:cs="Arial"/>
          <w:sz w:val="24"/>
          <w:szCs w:val="24"/>
        </w:rPr>
      </w:pPr>
      <w:r>
        <w:rPr>
          <w:rFonts w:ascii="Arial" w:hAnsi="Arial" w:cs="Arial"/>
          <w:sz w:val="24"/>
          <w:szCs w:val="24"/>
        </w:rPr>
        <w:tab/>
      </w:r>
      <w:r w:rsidR="00155F52" w:rsidRPr="00155F52">
        <w:rPr>
          <w:rFonts w:ascii="Arial" w:hAnsi="Arial" w:cs="Arial"/>
          <w:sz w:val="24"/>
          <w:szCs w:val="24"/>
        </w:rPr>
        <w:t>A maximum limit of £6 million applies to any one counterparty and this applies to a banking group rather than each individual bank within a group.</w:t>
      </w:r>
    </w:p>
    <w:p w14:paraId="3D5C3D38" w14:textId="77777777" w:rsidR="00155F52" w:rsidRPr="00155F52" w:rsidRDefault="00155F52" w:rsidP="00155F52">
      <w:pPr>
        <w:spacing w:after="220" w:line="240" w:lineRule="auto"/>
        <w:ind w:left="720" w:right="-496"/>
        <w:jc w:val="both"/>
        <w:rPr>
          <w:rFonts w:ascii="Arial" w:hAnsi="Arial" w:cs="Arial"/>
          <w:sz w:val="24"/>
          <w:szCs w:val="24"/>
        </w:rPr>
      </w:pPr>
      <w:r w:rsidRPr="00155F52">
        <w:rPr>
          <w:rFonts w:ascii="Arial" w:hAnsi="Arial" w:cs="Arial"/>
          <w:sz w:val="24"/>
          <w:szCs w:val="24"/>
        </w:rPr>
        <w:t>For illustrative purposes, Appendix B lists which banks and building societies the Authority could invest with based on credit ratings as at the beginning of December 2022.</w:t>
      </w:r>
    </w:p>
    <w:p w14:paraId="16A5508F" w14:textId="63E54592" w:rsidR="00155F52" w:rsidRPr="00155F52" w:rsidRDefault="00C05C4B" w:rsidP="00155F52">
      <w:pPr>
        <w:spacing w:after="0" w:line="240" w:lineRule="auto"/>
        <w:ind w:left="720" w:right="-496" w:hanging="720"/>
        <w:jc w:val="both"/>
        <w:rPr>
          <w:rFonts w:ascii="Arial" w:hAnsi="Arial" w:cs="Arial"/>
          <w:sz w:val="24"/>
          <w:szCs w:val="24"/>
        </w:rPr>
      </w:pPr>
      <w:r>
        <w:rPr>
          <w:rFonts w:ascii="Arial" w:hAnsi="Arial" w:cs="Arial"/>
          <w:sz w:val="24"/>
          <w:szCs w:val="24"/>
        </w:rPr>
        <w:tab/>
      </w:r>
      <w:r w:rsidR="00155F52" w:rsidRPr="00155F52">
        <w:rPr>
          <w:rFonts w:ascii="Arial" w:hAnsi="Arial" w:cs="Arial"/>
          <w:sz w:val="24"/>
          <w:szCs w:val="24"/>
        </w:rPr>
        <w:t>The policy allowing the Authority to invest up to £6 million with part-nationalised UK banks with mid “medium grade” credit ratings has been removed. With the Government steadily divesting themselves of their stake in these banks and the recent bail-in legislation, it is unlikely that the Government would bail these banks out if they got into further trouble.</w:t>
      </w:r>
    </w:p>
    <w:p w14:paraId="5F102ECD" w14:textId="77777777" w:rsidR="00155F52" w:rsidRPr="00155F52" w:rsidRDefault="00155F52" w:rsidP="00155F52">
      <w:pPr>
        <w:spacing w:after="220" w:line="240" w:lineRule="auto"/>
        <w:ind w:left="720" w:right="-496"/>
        <w:rPr>
          <w:rFonts w:ascii="Arial" w:hAnsi="Arial" w:cs="Arial"/>
          <w:sz w:val="24"/>
          <w:szCs w:val="24"/>
        </w:rPr>
      </w:pPr>
    </w:p>
    <w:p w14:paraId="0AE058CD" w14:textId="11195FCE" w:rsidR="00155F52" w:rsidRPr="00155F52" w:rsidRDefault="00C05C4B" w:rsidP="00155F52">
      <w:pPr>
        <w:spacing w:after="0" w:line="240" w:lineRule="auto"/>
        <w:ind w:left="720" w:right="-496" w:hanging="720"/>
        <w:jc w:val="both"/>
        <w:rPr>
          <w:rFonts w:ascii="Arial" w:hAnsi="Arial" w:cs="Arial"/>
          <w:sz w:val="24"/>
          <w:szCs w:val="24"/>
        </w:rPr>
      </w:pPr>
      <w:r>
        <w:rPr>
          <w:rFonts w:ascii="Arial" w:hAnsi="Arial" w:cs="Arial"/>
          <w:sz w:val="24"/>
          <w:szCs w:val="24"/>
        </w:rPr>
        <w:tab/>
      </w:r>
      <w:r w:rsidR="00155F52" w:rsidRPr="00155F52">
        <w:rPr>
          <w:rFonts w:ascii="Arial" w:hAnsi="Arial" w:cs="Arial"/>
          <w:sz w:val="24"/>
          <w:szCs w:val="24"/>
        </w:rPr>
        <w:t xml:space="preserve">There may be opportunities in the future for local authorities to use collateralised products, in particular </w:t>
      </w:r>
      <w:r w:rsidR="00155F52" w:rsidRPr="00155F52">
        <w:rPr>
          <w:rFonts w:ascii="Arial" w:hAnsi="Arial" w:cs="Arial"/>
          <w:sz w:val="24"/>
          <w:szCs w:val="24"/>
          <w:u w:val="single"/>
        </w:rPr>
        <w:t>reverse repurchase</w:t>
      </w:r>
      <w:r w:rsidR="00155F52" w:rsidRPr="00155F52">
        <w:rPr>
          <w:rFonts w:ascii="Arial" w:hAnsi="Arial" w:cs="Arial"/>
          <w:sz w:val="24"/>
          <w:szCs w:val="24"/>
        </w:rPr>
        <w:t xml:space="preserve"> agreements (REPOs). These products are secured on the borrower’s assets (such as gilts or corporate bonds) and are exempt from bail-in. The rates are currently comparable to unsecured investments, but entry levels are likely to be for investments of £10 million plus. It is proposed that reverse repurchase agreements are available to use under the strategy at the higher level indicated above.</w:t>
      </w:r>
    </w:p>
    <w:p w14:paraId="5BBB5A48" w14:textId="77777777" w:rsidR="00155F52" w:rsidRPr="00155F52" w:rsidRDefault="00155F52" w:rsidP="00155F52">
      <w:pPr>
        <w:spacing w:after="0" w:line="240" w:lineRule="auto"/>
        <w:ind w:left="720" w:right="-496" w:hanging="720"/>
        <w:rPr>
          <w:rFonts w:ascii="Arial" w:hAnsi="Arial" w:cs="Arial"/>
          <w:sz w:val="24"/>
          <w:szCs w:val="24"/>
        </w:rPr>
      </w:pPr>
    </w:p>
    <w:p w14:paraId="669FD75E" w14:textId="77777777" w:rsidR="00C05C4B" w:rsidRPr="00C05C4B" w:rsidRDefault="00C05C4B" w:rsidP="00155F52">
      <w:pPr>
        <w:spacing w:after="0" w:line="240" w:lineRule="auto"/>
        <w:ind w:left="720" w:right="-496" w:hanging="720"/>
        <w:jc w:val="both"/>
        <w:rPr>
          <w:rFonts w:ascii="Arial" w:hAnsi="Arial" w:cs="Arial"/>
          <w:sz w:val="24"/>
          <w:szCs w:val="24"/>
          <w:u w:val="single"/>
        </w:rPr>
      </w:pPr>
      <w:r>
        <w:rPr>
          <w:rFonts w:ascii="Arial" w:hAnsi="Arial" w:cs="Arial"/>
          <w:sz w:val="24"/>
          <w:szCs w:val="24"/>
        </w:rPr>
        <w:tab/>
      </w:r>
      <w:r w:rsidRPr="00C05C4B">
        <w:rPr>
          <w:rFonts w:ascii="Arial" w:hAnsi="Arial" w:cs="Arial"/>
          <w:sz w:val="24"/>
          <w:szCs w:val="24"/>
          <w:u w:val="single"/>
        </w:rPr>
        <w:t>Credit Rating</w:t>
      </w:r>
    </w:p>
    <w:p w14:paraId="1A454F25" w14:textId="3B7DDD4E" w:rsidR="00C05C4B" w:rsidRDefault="00C05C4B" w:rsidP="00155F52">
      <w:pPr>
        <w:spacing w:after="0" w:line="240" w:lineRule="auto"/>
        <w:ind w:left="720" w:right="-496" w:hanging="720"/>
        <w:jc w:val="both"/>
        <w:rPr>
          <w:rFonts w:ascii="Arial" w:hAnsi="Arial" w:cs="Arial"/>
          <w:sz w:val="24"/>
          <w:szCs w:val="24"/>
        </w:rPr>
      </w:pPr>
      <w:r>
        <w:rPr>
          <w:rFonts w:ascii="Arial" w:hAnsi="Arial" w:cs="Arial"/>
          <w:sz w:val="24"/>
          <w:szCs w:val="24"/>
        </w:rPr>
        <w:tab/>
      </w:r>
    </w:p>
    <w:p w14:paraId="3D8363A2" w14:textId="1D162FC8" w:rsidR="00155F52" w:rsidRPr="00155F52" w:rsidRDefault="00C05C4B" w:rsidP="00155F52">
      <w:pPr>
        <w:spacing w:after="0" w:line="240" w:lineRule="auto"/>
        <w:ind w:left="720" w:right="-496" w:hanging="720"/>
        <w:jc w:val="both"/>
        <w:rPr>
          <w:rFonts w:ascii="Arial" w:hAnsi="Arial" w:cs="Arial"/>
          <w:sz w:val="24"/>
          <w:szCs w:val="24"/>
        </w:rPr>
      </w:pPr>
      <w:r>
        <w:rPr>
          <w:rFonts w:ascii="Arial" w:hAnsi="Arial" w:cs="Arial"/>
          <w:sz w:val="24"/>
          <w:szCs w:val="24"/>
        </w:rPr>
        <w:tab/>
      </w:r>
      <w:r w:rsidR="00155F52" w:rsidRPr="00155F52">
        <w:rPr>
          <w:rFonts w:ascii="Arial" w:hAnsi="Arial" w:cs="Arial"/>
          <w:sz w:val="24"/>
          <w:szCs w:val="24"/>
        </w:rPr>
        <w:t xml:space="preserve">The Authority uses credit ratings from the three main rating agencies - Fitch, Moody’s and Standard &amp; Poor’s to assess the risk of investment defaults (Appendix C). The lowest credit rating of an organisation will be used to determine credit quality. Long term ratings are expressed on a scale from AAA (the highest quality) through to D (indicating default). Ratings of BBB- and above are described as </w:t>
      </w:r>
      <w:r w:rsidR="00155F52" w:rsidRPr="00155F52">
        <w:rPr>
          <w:rFonts w:ascii="Arial" w:hAnsi="Arial" w:cs="Arial"/>
          <w:sz w:val="24"/>
          <w:szCs w:val="24"/>
          <w:u w:val="single"/>
        </w:rPr>
        <w:t>investment grade</w:t>
      </w:r>
      <w:r w:rsidR="00155F52" w:rsidRPr="00155F52">
        <w:rPr>
          <w:rFonts w:ascii="Arial" w:hAnsi="Arial" w:cs="Arial"/>
          <w:sz w:val="24"/>
          <w:szCs w:val="24"/>
        </w:rPr>
        <w:t xml:space="preserve">, while ratings of BB+ and below are described as speculative grade.  </w:t>
      </w:r>
    </w:p>
    <w:p w14:paraId="749211C5" w14:textId="77777777" w:rsidR="00155F52" w:rsidRPr="00155F52" w:rsidRDefault="00155F52" w:rsidP="00155F52">
      <w:pPr>
        <w:spacing w:after="0" w:line="240" w:lineRule="auto"/>
        <w:ind w:left="720" w:right="-496" w:hanging="720"/>
        <w:rPr>
          <w:rFonts w:ascii="Arial" w:hAnsi="Arial" w:cs="Arial"/>
          <w:sz w:val="24"/>
          <w:szCs w:val="24"/>
        </w:rPr>
      </w:pPr>
    </w:p>
    <w:p w14:paraId="22C09D31" w14:textId="6B6B9398" w:rsidR="00155F52" w:rsidRPr="00155F52" w:rsidRDefault="00C05C4B" w:rsidP="00155F52">
      <w:pPr>
        <w:spacing w:after="0" w:line="240" w:lineRule="auto"/>
        <w:ind w:left="709" w:right="-496" w:hanging="709"/>
        <w:rPr>
          <w:rFonts w:ascii="Arial" w:hAnsi="Arial" w:cs="Arial"/>
          <w:sz w:val="24"/>
          <w:szCs w:val="24"/>
        </w:rPr>
      </w:pPr>
      <w:r>
        <w:rPr>
          <w:rFonts w:ascii="Arial" w:hAnsi="Arial" w:cs="Arial"/>
          <w:sz w:val="24"/>
          <w:szCs w:val="24"/>
        </w:rPr>
        <w:tab/>
      </w:r>
      <w:r w:rsidR="00155F52" w:rsidRPr="00155F52">
        <w:rPr>
          <w:rFonts w:ascii="Arial" w:hAnsi="Arial" w:cs="Arial"/>
          <w:sz w:val="24"/>
          <w:szCs w:val="24"/>
        </w:rPr>
        <w:t>Where an entity has its credit rating downgraded so that it fails to meet the approved investment criteria:</w:t>
      </w:r>
    </w:p>
    <w:p w14:paraId="525B268F" w14:textId="77777777" w:rsidR="00155F52" w:rsidRPr="00155F52" w:rsidRDefault="00155F52" w:rsidP="00155F52">
      <w:pPr>
        <w:spacing w:after="0" w:line="240" w:lineRule="auto"/>
        <w:ind w:right="-496"/>
        <w:rPr>
          <w:rFonts w:ascii="Arial" w:hAnsi="Arial" w:cs="Arial"/>
          <w:sz w:val="24"/>
          <w:szCs w:val="24"/>
        </w:rPr>
      </w:pPr>
    </w:p>
    <w:p w14:paraId="0DE319EA" w14:textId="77777777" w:rsidR="00155F52" w:rsidRPr="00155F52" w:rsidRDefault="00155F52" w:rsidP="00155F52">
      <w:pPr>
        <w:numPr>
          <w:ilvl w:val="0"/>
          <w:numId w:val="8"/>
        </w:numPr>
        <w:spacing w:after="0" w:line="240" w:lineRule="auto"/>
        <w:ind w:left="1134" w:right="-496" w:hanging="425"/>
        <w:rPr>
          <w:rFonts w:ascii="Arial" w:hAnsi="Arial" w:cs="Arial"/>
          <w:sz w:val="24"/>
          <w:szCs w:val="24"/>
        </w:rPr>
      </w:pPr>
      <w:r w:rsidRPr="00155F52">
        <w:rPr>
          <w:rFonts w:ascii="Arial" w:hAnsi="Arial" w:cs="Arial"/>
          <w:sz w:val="24"/>
          <w:szCs w:val="24"/>
        </w:rPr>
        <w:t>No new investments will be made.</w:t>
      </w:r>
    </w:p>
    <w:p w14:paraId="5C65D0F1" w14:textId="77777777" w:rsidR="00155F52" w:rsidRPr="00155F52" w:rsidRDefault="00155F52" w:rsidP="00155F52">
      <w:pPr>
        <w:numPr>
          <w:ilvl w:val="0"/>
          <w:numId w:val="8"/>
        </w:numPr>
        <w:spacing w:after="0" w:line="240" w:lineRule="auto"/>
        <w:ind w:left="1134" w:right="-496" w:hanging="425"/>
        <w:rPr>
          <w:rFonts w:ascii="Arial" w:hAnsi="Arial" w:cs="Arial"/>
          <w:sz w:val="24"/>
          <w:szCs w:val="24"/>
        </w:rPr>
      </w:pPr>
      <w:r w:rsidRPr="00155F52">
        <w:rPr>
          <w:rFonts w:ascii="Arial" w:hAnsi="Arial" w:cs="Arial"/>
          <w:sz w:val="24"/>
          <w:szCs w:val="24"/>
        </w:rPr>
        <w:t>Any existing investments that can be recalled at no cost will be recalled.</w:t>
      </w:r>
    </w:p>
    <w:p w14:paraId="490D8A76" w14:textId="77777777" w:rsidR="00155F52" w:rsidRPr="00155F52" w:rsidRDefault="00155F52" w:rsidP="00155F52">
      <w:pPr>
        <w:numPr>
          <w:ilvl w:val="0"/>
          <w:numId w:val="8"/>
        </w:numPr>
        <w:spacing w:after="0" w:line="240" w:lineRule="auto"/>
        <w:ind w:left="1134" w:right="-496" w:hanging="425"/>
        <w:rPr>
          <w:rFonts w:ascii="Arial" w:hAnsi="Arial" w:cs="Arial"/>
          <w:sz w:val="24"/>
          <w:szCs w:val="24"/>
        </w:rPr>
      </w:pPr>
      <w:r w:rsidRPr="00155F52">
        <w:rPr>
          <w:rFonts w:ascii="Arial" w:hAnsi="Arial" w:cs="Arial"/>
          <w:sz w:val="24"/>
          <w:szCs w:val="24"/>
        </w:rPr>
        <w:t>Full consideration will be given to the recall or sale of all other existing investments with the affected counterparty.</w:t>
      </w:r>
    </w:p>
    <w:p w14:paraId="2785B3B3" w14:textId="77777777" w:rsidR="00155F52" w:rsidRPr="00155F52" w:rsidRDefault="00155F52" w:rsidP="00155F52">
      <w:pPr>
        <w:spacing w:after="0" w:line="240" w:lineRule="auto"/>
        <w:ind w:left="1134" w:right="-496"/>
        <w:rPr>
          <w:rFonts w:ascii="Arial" w:hAnsi="Arial" w:cs="Arial"/>
          <w:sz w:val="24"/>
          <w:szCs w:val="24"/>
        </w:rPr>
      </w:pPr>
    </w:p>
    <w:p w14:paraId="4F4BA3E8" w14:textId="1918B41C" w:rsidR="00155F52" w:rsidRPr="00155F52" w:rsidRDefault="00C05C4B" w:rsidP="00155F52">
      <w:pPr>
        <w:spacing w:after="0" w:line="240" w:lineRule="auto"/>
        <w:ind w:left="709" w:right="-496" w:hanging="709"/>
        <w:jc w:val="both"/>
        <w:rPr>
          <w:rFonts w:ascii="Arial" w:hAnsi="Arial" w:cs="Arial"/>
          <w:sz w:val="24"/>
          <w:szCs w:val="24"/>
        </w:rPr>
      </w:pPr>
      <w:r>
        <w:rPr>
          <w:rFonts w:ascii="Arial" w:hAnsi="Arial" w:cs="Arial"/>
          <w:sz w:val="24"/>
          <w:szCs w:val="24"/>
        </w:rPr>
        <w:tab/>
      </w:r>
      <w:r w:rsidR="00155F52" w:rsidRPr="00155F52">
        <w:rPr>
          <w:rFonts w:ascii="Arial" w:hAnsi="Arial" w:cs="Arial"/>
          <w:sz w:val="24"/>
          <w:szCs w:val="24"/>
        </w:rPr>
        <w:t>Where a credit rating agency announces that a rating is on review for possible downgrade (“rating watch negative or credit watch negative”) so that it is likely to fall below the required criteria, then no further investments will be made in that organisation until the outcome is announced. This policy will not apply to negative outlooks, which indicate a long-term direction of travel rather than an imminent change of rating.</w:t>
      </w:r>
    </w:p>
    <w:p w14:paraId="23DBD8DE" w14:textId="77777777" w:rsidR="00155F52" w:rsidRPr="00155F52" w:rsidRDefault="00155F52" w:rsidP="00155F52">
      <w:pPr>
        <w:spacing w:after="0" w:line="240" w:lineRule="auto"/>
        <w:ind w:left="709" w:right="-496" w:hanging="709"/>
        <w:jc w:val="both"/>
        <w:rPr>
          <w:rFonts w:ascii="Arial" w:hAnsi="Arial" w:cs="Arial"/>
          <w:sz w:val="24"/>
          <w:szCs w:val="24"/>
        </w:rPr>
      </w:pPr>
    </w:p>
    <w:p w14:paraId="441B9178" w14:textId="0A44E900" w:rsidR="00155F52" w:rsidRPr="00155F52" w:rsidRDefault="00C05C4B" w:rsidP="00155F52">
      <w:pPr>
        <w:spacing w:after="0" w:line="240" w:lineRule="auto"/>
        <w:ind w:left="709" w:right="-496" w:hanging="709"/>
        <w:jc w:val="both"/>
        <w:rPr>
          <w:rFonts w:ascii="Arial" w:hAnsi="Arial" w:cs="Arial"/>
          <w:sz w:val="24"/>
          <w:szCs w:val="24"/>
        </w:rPr>
      </w:pPr>
      <w:r>
        <w:rPr>
          <w:rFonts w:ascii="Arial" w:hAnsi="Arial" w:cs="Arial"/>
          <w:sz w:val="24"/>
          <w:szCs w:val="24"/>
        </w:rPr>
        <w:tab/>
      </w:r>
      <w:r w:rsidR="00155F52" w:rsidRPr="00155F52">
        <w:rPr>
          <w:rFonts w:ascii="Arial" w:hAnsi="Arial" w:cs="Arial"/>
          <w:sz w:val="24"/>
          <w:szCs w:val="24"/>
        </w:rPr>
        <w:t>Following the Government’s fiscal event on the 23</w:t>
      </w:r>
      <w:r w:rsidR="00155F52" w:rsidRPr="00155F52">
        <w:rPr>
          <w:rFonts w:ascii="Arial" w:hAnsi="Arial" w:cs="Arial"/>
          <w:sz w:val="24"/>
          <w:szCs w:val="24"/>
          <w:vertAlign w:val="superscript"/>
        </w:rPr>
        <w:t>rd</w:t>
      </w:r>
      <w:r w:rsidR="00155F52" w:rsidRPr="00155F52">
        <w:rPr>
          <w:rFonts w:ascii="Arial" w:hAnsi="Arial" w:cs="Arial"/>
          <w:sz w:val="24"/>
          <w:szCs w:val="24"/>
        </w:rPr>
        <w:t xml:space="preserve"> of September 2022, both Standard and Poor’s and Fitch have placed the UK sovereign debt on negative outlook in light of expectations of weaker finances and the economic outlook. </w:t>
      </w:r>
    </w:p>
    <w:p w14:paraId="70A873BF" w14:textId="77777777" w:rsidR="00155F52" w:rsidRPr="00155F52" w:rsidRDefault="00155F52" w:rsidP="00155F52">
      <w:pPr>
        <w:spacing w:after="0" w:line="240" w:lineRule="auto"/>
        <w:ind w:left="709" w:right="-496" w:hanging="709"/>
        <w:rPr>
          <w:rFonts w:ascii="Arial" w:hAnsi="Arial" w:cs="Arial"/>
          <w:sz w:val="24"/>
          <w:szCs w:val="24"/>
        </w:rPr>
      </w:pPr>
    </w:p>
    <w:p w14:paraId="096D4759" w14:textId="723C81B8" w:rsidR="00155F52" w:rsidRPr="00155F52" w:rsidRDefault="00C05C4B" w:rsidP="00155F52">
      <w:pPr>
        <w:spacing w:after="0" w:line="240" w:lineRule="auto"/>
        <w:ind w:left="709" w:right="-496" w:hanging="709"/>
        <w:jc w:val="both"/>
        <w:rPr>
          <w:rFonts w:ascii="Arial" w:hAnsi="Arial" w:cs="Arial"/>
          <w:sz w:val="24"/>
          <w:szCs w:val="24"/>
        </w:rPr>
      </w:pPr>
      <w:r>
        <w:rPr>
          <w:rFonts w:ascii="Arial" w:hAnsi="Arial" w:cs="Arial"/>
          <w:sz w:val="24"/>
          <w:szCs w:val="24"/>
        </w:rPr>
        <w:lastRenderedPageBreak/>
        <w:tab/>
      </w:r>
      <w:r w:rsidR="00155F52" w:rsidRPr="00155F52">
        <w:rPr>
          <w:rFonts w:ascii="Arial" w:hAnsi="Arial" w:cs="Arial"/>
          <w:sz w:val="24"/>
          <w:szCs w:val="24"/>
        </w:rPr>
        <w:t>Full regard will be given to other available information on the credit quality of banks and building societies, including credit default swap prices, financial statements and rating agency reports. No investments will be made with an organisation if there are substantive doubts about its credit quality, even though it may meet the approved criteria.</w:t>
      </w:r>
    </w:p>
    <w:p w14:paraId="4056D69B" w14:textId="77777777" w:rsidR="00155F52" w:rsidRPr="00155F52" w:rsidRDefault="00155F52" w:rsidP="00155F52">
      <w:pPr>
        <w:spacing w:after="0" w:line="240" w:lineRule="auto"/>
        <w:ind w:left="709" w:right="-496" w:hanging="709"/>
        <w:rPr>
          <w:rFonts w:ascii="Arial" w:hAnsi="Arial" w:cs="Arial"/>
          <w:sz w:val="24"/>
          <w:szCs w:val="24"/>
        </w:rPr>
      </w:pPr>
    </w:p>
    <w:p w14:paraId="5E73D7C4" w14:textId="014EE447" w:rsidR="00155F52" w:rsidRPr="00155F52" w:rsidRDefault="00C05C4B" w:rsidP="00155F52">
      <w:pPr>
        <w:spacing w:after="0" w:line="240" w:lineRule="auto"/>
        <w:ind w:right="-496"/>
        <w:rPr>
          <w:rFonts w:ascii="Arial" w:hAnsi="Arial" w:cs="Arial"/>
          <w:sz w:val="24"/>
          <w:szCs w:val="24"/>
        </w:rPr>
      </w:pPr>
      <w:r>
        <w:rPr>
          <w:rFonts w:ascii="Arial" w:hAnsi="Arial" w:cs="Arial"/>
          <w:sz w:val="24"/>
          <w:szCs w:val="24"/>
        </w:rPr>
        <w:tab/>
      </w:r>
      <w:r w:rsidR="00155F52" w:rsidRPr="00155F52">
        <w:rPr>
          <w:rFonts w:ascii="Arial" w:hAnsi="Arial" w:cs="Arial"/>
          <w:sz w:val="24"/>
          <w:szCs w:val="24"/>
        </w:rPr>
        <w:t>Investments may be made using the following instruments:</w:t>
      </w:r>
    </w:p>
    <w:p w14:paraId="1D2963C8" w14:textId="77777777" w:rsidR="00155F52" w:rsidRPr="00155F52" w:rsidRDefault="00155F52" w:rsidP="00155F52">
      <w:pPr>
        <w:spacing w:after="0" w:line="240" w:lineRule="auto"/>
        <w:ind w:right="-496"/>
        <w:rPr>
          <w:rFonts w:ascii="Arial" w:hAnsi="Arial" w:cs="Arial"/>
          <w:sz w:val="24"/>
          <w:szCs w:val="24"/>
        </w:rPr>
      </w:pPr>
    </w:p>
    <w:p w14:paraId="0DF76ADB" w14:textId="3679019D" w:rsidR="00C05C4B" w:rsidRDefault="00155F52" w:rsidP="00C05C4B">
      <w:pPr>
        <w:numPr>
          <w:ilvl w:val="0"/>
          <w:numId w:val="7"/>
        </w:numPr>
        <w:spacing w:after="0" w:line="240" w:lineRule="auto"/>
        <w:ind w:right="-496" w:firstLine="131"/>
        <w:rPr>
          <w:rFonts w:ascii="Arial" w:hAnsi="Arial" w:cs="Arial"/>
          <w:sz w:val="24"/>
          <w:szCs w:val="24"/>
        </w:rPr>
      </w:pPr>
      <w:r w:rsidRPr="00155F52">
        <w:rPr>
          <w:rFonts w:ascii="Arial" w:hAnsi="Arial" w:cs="Arial"/>
          <w:sz w:val="24"/>
          <w:szCs w:val="24"/>
        </w:rPr>
        <w:t>Interest paying bank accounts.</w:t>
      </w:r>
    </w:p>
    <w:p w14:paraId="28C5C409" w14:textId="77777777" w:rsidR="00C05C4B" w:rsidRDefault="00155F52" w:rsidP="00C05C4B">
      <w:pPr>
        <w:numPr>
          <w:ilvl w:val="0"/>
          <w:numId w:val="7"/>
        </w:numPr>
        <w:spacing w:after="0" w:line="240" w:lineRule="auto"/>
        <w:ind w:right="-496" w:firstLine="131"/>
        <w:rPr>
          <w:rFonts w:ascii="Arial" w:hAnsi="Arial" w:cs="Arial"/>
          <w:sz w:val="24"/>
          <w:szCs w:val="24"/>
        </w:rPr>
      </w:pPr>
      <w:r w:rsidRPr="00155F52">
        <w:rPr>
          <w:rFonts w:ascii="Arial" w:hAnsi="Arial" w:cs="Arial"/>
          <w:sz w:val="24"/>
          <w:szCs w:val="24"/>
        </w:rPr>
        <w:t xml:space="preserve">Fixed term deposits. </w:t>
      </w:r>
    </w:p>
    <w:p w14:paraId="4EFF8B4D" w14:textId="4B9CE14E" w:rsidR="00C05C4B" w:rsidRDefault="00155F52" w:rsidP="00C05C4B">
      <w:pPr>
        <w:numPr>
          <w:ilvl w:val="0"/>
          <w:numId w:val="7"/>
        </w:numPr>
        <w:spacing w:after="0" w:line="240" w:lineRule="auto"/>
        <w:ind w:right="-496" w:firstLine="131"/>
        <w:rPr>
          <w:rFonts w:ascii="Arial" w:hAnsi="Arial" w:cs="Arial"/>
          <w:sz w:val="24"/>
          <w:szCs w:val="24"/>
        </w:rPr>
      </w:pPr>
      <w:r w:rsidRPr="00155F52">
        <w:rPr>
          <w:rFonts w:ascii="Arial" w:hAnsi="Arial" w:cs="Arial"/>
          <w:sz w:val="24"/>
          <w:szCs w:val="24"/>
        </w:rPr>
        <w:t xml:space="preserve">Call or notice </w:t>
      </w:r>
      <w:r w:rsidR="001078F2" w:rsidRPr="00155F52">
        <w:rPr>
          <w:rFonts w:ascii="Arial" w:hAnsi="Arial" w:cs="Arial"/>
          <w:sz w:val="24"/>
          <w:szCs w:val="24"/>
        </w:rPr>
        <w:t>deposits.</w:t>
      </w:r>
    </w:p>
    <w:p w14:paraId="68F6AE20" w14:textId="77777777" w:rsidR="00C05C4B" w:rsidRDefault="00155F52" w:rsidP="00C05C4B">
      <w:pPr>
        <w:numPr>
          <w:ilvl w:val="0"/>
          <w:numId w:val="7"/>
        </w:numPr>
        <w:spacing w:after="0" w:line="240" w:lineRule="auto"/>
        <w:ind w:right="-496" w:firstLine="131"/>
        <w:rPr>
          <w:rFonts w:ascii="Arial" w:hAnsi="Arial" w:cs="Arial"/>
          <w:sz w:val="24"/>
          <w:szCs w:val="24"/>
        </w:rPr>
      </w:pPr>
      <w:r w:rsidRPr="00155F52">
        <w:rPr>
          <w:rFonts w:ascii="Arial" w:hAnsi="Arial" w:cs="Arial"/>
          <w:sz w:val="24"/>
          <w:szCs w:val="24"/>
        </w:rPr>
        <w:t>Callable deposits.</w:t>
      </w:r>
    </w:p>
    <w:p w14:paraId="0A1A8550" w14:textId="77777777" w:rsidR="00C05C4B" w:rsidRDefault="00155F52" w:rsidP="00C05C4B">
      <w:pPr>
        <w:numPr>
          <w:ilvl w:val="0"/>
          <w:numId w:val="7"/>
        </w:numPr>
        <w:spacing w:after="0" w:line="240" w:lineRule="auto"/>
        <w:ind w:right="-496" w:firstLine="131"/>
        <w:rPr>
          <w:rFonts w:ascii="Arial" w:hAnsi="Arial" w:cs="Arial"/>
          <w:sz w:val="24"/>
          <w:szCs w:val="24"/>
        </w:rPr>
      </w:pPr>
      <w:r w:rsidRPr="00155F52">
        <w:rPr>
          <w:rFonts w:ascii="Arial" w:hAnsi="Arial" w:cs="Arial"/>
          <w:sz w:val="24"/>
          <w:szCs w:val="24"/>
        </w:rPr>
        <w:t>Shares in money market funds</w:t>
      </w:r>
    </w:p>
    <w:p w14:paraId="7DE1CDC1" w14:textId="4D993888" w:rsidR="00155F52" w:rsidRPr="00155F52" w:rsidRDefault="00155F52" w:rsidP="00C05C4B">
      <w:pPr>
        <w:numPr>
          <w:ilvl w:val="0"/>
          <w:numId w:val="7"/>
        </w:numPr>
        <w:spacing w:after="0" w:line="240" w:lineRule="auto"/>
        <w:ind w:right="-496" w:firstLine="131"/>
        <w:rPr>
          <w:rFonts w:ascii="Arial" w:hAnsi="Arial" w:cs="Arial"/>
          <w:sz w:val="24"/>
          <w:szCs w:val="24"/>
        </w:rPr>
      </w:pPr>
      <w:r w:rsidRPr="00155F52">
        <w:rPr>
          <w:rFonts w:ascii="Arial" w:hAnsi="Arial" w:cs="Arial"/>
          <w:sz w:val="24"/>
          <w:szCs w:val="24"/>
        </w:rPr>
        <w:t>Reverse repurchase agreements.</w:t>
      </w:r>
    </w:p>
    <w:p w14:paraId="5A9F5129" w14:textId="77777777" w:rsidR="00155F52" w:rsidRPr="00155F52" w:rsidRDefault="00155F52" w:rsidP="00155F52">
      <w:pPr>
        <w:spacing w:after="0" w:line="240" w:lineRule="auto"/>
        <w:ind w:left="1080" w:right="-496"/>
        <w:rPr>
          <w:rFonts w:ascii="Arial" w:hAnsi="Arial" w:cs="Arial"/>
          <w:sz w:val="24"/>
          <w:szCs w:val="24"/>
        </w:rPr>
      </w:pPr>
    </w:p>
    <w:p w14:paraId="2CF9690A" w14:textId="606A2DFA" w:rsidR="00155F52" w:rsidRPr="00155F52" w:rsidRDefault="00C05C4B" w:rsidP="00155F52">
      <w:pPr>
        <w:spacing w:after="220" w:line="240" w:lineRule="auto"/>
        <w:ind w:right="-496"/>
        <w:rPr>
          <w:rFonts w:ascii="Arial" w:hAnsi="Arial" w:cs="Arial"/>
          <w:sz w:val="24"/>
          <w:szCs w:val="24"/>
          <w:u w:val="single"/>
        </w:rPr>
      </w:pPr>
      <w:r>
        <w:rPr>
          <w:rFonts w:ascii="Arial" w:hAnsi="Arial" w:cs="Arial"/>
          <w:sz w:val="24"/>
          <w:szCs w:val="24"/>
        </w:rPr>
        <w:tab/>
      </w:r>
      <w:r w:rsidR="00155F52" w:rsidRPr="00155F52">
        <w:rPr>
          <w:rFonts w:ascii="Arial" w:hAnsi="Arial" w:cs="Arial"/>
          <w:sz w:val="24"/>
          <w:szCs w:val="24"/>
          <w:u w:val="single"/>
        </w:rPr>
        <w:t xml:space="preserve">Investment of money borrowed in advance of </w:t>
      </w:r>
      <w:r w:rsidR="001078F2" w:rsidRPr="00155F52">
        <w:rPr>
          <w:rFonts w:ascii="Arial" w:hAnsi="Arial" w:cs="Arial"/>
          <w:sz w:val="24"/>
          <w:szCs w:val="24"/>
          <w:u w:val="single"/>
        </w:rPr>
        <w:t>need.</w:t>
      </w:r>
    </w:p>
    <w:p w14:paraId="773F619F" w14:textId="77777777" w:rsidR="00155F52" w:rsidRPr="00155F52" w:rsidRDefault="00155F52" w:rsidP="00155F52">
      <w:pPr>
        <w:spacing w:after="220" w:line="240" w:lineRule="auto"/>
        <w:ind w:left="720" w:right="-496"/>
        <w:jc w:val="both"/>
        <w:rPr>
          <w:rFonts w:ascii="Arial" w:hAnsi="Arial" w:cs="Arial"/>
          <w:sz w:val="24"/>
          <w:szCs w:val="24"/>
        </w:rPr>
      </w:pPr>
      <w:r w:rsidRPr="00155F52">
        <w:rPr>
          <w:rFonts w:ascii="Arial" w:hAnsi="Arial" w:cs="Arial"/>
          <w:sz w:val="24"/>
          <w:szCs w:val="24"/>
        </w:rPr>
        <w:t>The Authority may, from time to time, borrow in advance of need, where this is expected to provide the best long-term value for money. However, as this would involve externally investing such sums until required and thus increasing exposures to both interest rate and principal risks, it is not believed appropriate to undertake such a policy at this time.</w:t>
      </w:r>
    </w:p>
    <w:p w14:paraId="55910B6B" w14:textId="545F9E77" w:rsidR="00155F52" w:rsidRPr="00155F52" w:rsidRDefault="00C05C4B" w:rsidP="00155F52">
      <w:pPr>
        <w:spacing w:after="0" w:line="240" w:lineRule="auto"/>
        <w:ind w:left="720" w:right="-496" w:hanging="720"/>
        <w:jc w:val="both"/>
        <w:rPr>
          <w:rFonts w:ascii="Arial" w:hAnsi="Arial" w:cs="Arial"/>
          <w:sz w:val="24"/>
          <w:szCs w:val="24"/>
        </w:rPr>
      </w:pPr>
      <w:r>
        <w:rPr>
          <w:rFonts w:ascii="Arial" w:hAnsi="Arial" w:cs="Arial"/>
          <w:sz w:val="24"/>
          <w:szCs w:val="24"/>
        </w:rPr>
        <w:tab/>
      </w:r>
      <w:r w:rsidR="00155F52" w:rsidRPr="00155F52">
        <w:rPr>
          <w:rFonts w:ascii="Arial" w:hAnsi="Arial" w:cs="Arial"/>
          <w:sz w:val="24"/>
          <w:szCs w:val="24"/>
        </w:rPr>
        <w:t>Annual cash flow forecasts are prepared which are continuously updated. This helps determine the maximum period for which funds may be prudently committed.</w:t>
      </w:r>
    </w:p>
    <w:p w14:paraId="386FEF0C" w14:textId="77777777" w:rsidR="00155F52" w:rsidRPr="00155F52" w:rsidRDefault="00155F52" w:rsidP="00155F52">
      <w:pPr>
        <w:spacing w:after="0" w:line="240" w:lineRule="auto"/>
        <w:ind w:left="720" w:right="-496" w:hanging="720"/>
        <w:rPr>
          <w:rFonts w:ascii="Arial" w:hAnsi="Arial" w:cs="Arial"/>
          <w:sz w:val="24"/>
          <w:szCs w:val="24"/>
        </w:rPr>
      </w:pPr>
    </w:p>
    <w:p w14:paraId="39327DC5" w14:textId="41291242" w:rsidR="00155F52" w:rsidRPr="00155F52" w:rsidRDefault="00C05C4B" w:rsidP="00155F52">
      <w:pPr>
        <w:spacing w:after="0" w:line="240" w:lineRule="auto"/>
        <w:ind w:left="720" w:right="-496" w:hanging="720"/>
        <w:jc w:val="both"/>
        <w:rPr>
          <w:rFonts w:ascii="Arial" w:hAnsi="Arial"/>
        </w:rPr>
      </w:pPr>
      <w:r>
        <w:rPr>
          <w:rFonts w:ascii="Arial" w:hAnsi="Arial" w:cs="Arial"/>
          <w:sz w:val="24"/>
          <w:szCs w:val="24"/>
        </w:rPr>
        <w:tab/>
      </w:r>
      <w:r w:rsidR="00155F52" w:rsidRPr="00155F52">
        <w:rPr>
          <w:rFonts w:ascii="Arial" w:hAnsi="Arial" w:cs="Arial"/>
          <w:sz w:val="24"/>
          <w:szCs w:val="24"/>
        </w:rPr>
        <w:t>Investment policy and performance will be monitored continuously and will be reported to Members during the year and as part of the annual report on Treasury Management.</w:t>
      </w:r>
    </w:p>
    <w:p w14:paraId="610FC34F" w14:textId="77777777" w:rsidR="00155F52" w:rsidRPr="00155F52" w:rsidRDefault="00155F52" w:rsidP="00155F52">
      <w:pPr>
        <w:spacing w:after="0" w:line="240" w:lineRule="auto"/>
        <w:ind w:left="720" w:right="-496"/>
        <w:rPr>
          <w:rFonts w:ascii="Arial" w:hAnsi="Arial"/>
          <w:sz w:val="24"/>
          <w:szCs w:val="24"/>
        </w:rPr>
      </w:pPr>
    </w:p>
    <w:p w14:paraId="34C49840" w14:textId="77777777" w:rsidR="00155F52" w:rsidRPr="00155F52" w:rsidRDefault="00155F52" w:rsidP="00155F52">
      <w:pPr>
        <w:spacing w:after="220" w:line="240" w:lineRule="auto"/>
        <w:ind w:right="-496"/>
        <w:rPr>
          <w:rFonts w:ascii="Arial" w:hAnsi="Arial"/>
        </w:rPr>
      </w:pPr>
    </w:p>
    <w:p w14:paraId="75118DF6" w14:textId="06D24FD5" w:rsidR="00155F52" w:rsidRPr="00C05C4B" w:rsidRDefault="00155F52" w:rsidP="00C05C4B">
      <w:pPr>
        <w:pStyle w:val="ListParagraph"/>
        <w:keepNext/>
        <w:keepLines/>
        <w:numPr>
          <w:ilvl w:val="0"/>
          <w:numId w:val="2"/>
        </w:numPr>
        <w:spacing w:before="220" w:after="220" w:line="240" w:lineRule="auto"/>
        <w:ind w:right="-496"/>
        <w:outlineLvl w:val="0"/>
        <w:rPr>
          <w:rFonts w:ascii="Arial" w:eastAsiaTheme="majorEastAsia" w:hAnsi="Arial" w:cstheme="majorBidi"/>
          <w:b/>
          <w:bCs/>
          <w:sz w:val="24"/>
          <w:szCs w:val="24"/>
        </w:rPr>
      </w:pPr>
      <w:r w:rsidRPr="00C05C4B">
        <w:rPr>
          <w:rFonts w:ascii="Arial" w:eastAsiaTheme="majorEastAsia" w:hAnsi="Arial" w:cstheme="majorBidi"/>
          <w:b/>
          <w:bCs/>
          <w:sz w:val="24"/>
          <w:szCs w:val="24"/>
        </w:rPr>
        <w:t>Prudential Indicators</w:t>
      </w:r>
    </w:p>
    <w:p w14:paraId="3D8017D8" w14:textId="5E522157" w:rsidR="00155F52" w:rsidRPr="00155F52" w:rsidRDefault="00AE40AD" w:rsidP="00155F52">
      <w:pPr>
        <w:spacing w:after="220" w:line="240" w:lineRule="auto"/>
        <w:ind w:left="709" w:right="-496" w:hanging="709"/>
        <w:jc w:val="both"/>
        <w:rPr>
          <w:rFonts w:ascii="Arial" w:hAnsi="Arial" w:cs="Arial"/>
          <w:strike/>
          <w:sz w:val="24"/>
          <w:szCs w:val="24"/>
        </w:rPr>
      </w:pPr>
      <w:r>
        <w:rPr>
          <w:rFonts w:ascii="Arial" w:hAnsi="Arial"/>
        </w:rPr>
        <w:tab/>
      </w:r>
      <w:r w:rsidR="00155F52" w:rsidRPr="00155F52">
        <w:rPr>
          <w:rFonts w:ascii="Arial" w:hAnsi="Arial" w:cs="Arial"/>
          <w:sz w:val="24"/>
          <w:szCs w:val="24"/>
        </w:rPr>
        <w:t xml:space="preserve">The Authority is asked to approve certain treasury management indicators, the purpose of which is to contain the activity of the treasury function within certain limits, thereby reducing the risk or likelihood of an adverse movement in interest rates or borrowing decision impacting negatively on the Authority’s overall financial position. However, if these are set to be too restrictive, they will impair the opportunities to reduce costs. The proposed indicators are set out in Appendix </w:t>
      </w:r>
      <w:r w:rsidR="00285E60">
        <w:rPr>
          <w:rFonts w:ascii="Arial" w:hAnsi="Arial" w:cs="Arial"/>
          <w:sz w:val="24"/>
          <w:szCs w:val="24"/>
        </w:rPr>
        <w:t>D</w:t>
      </w:r>
      <w:r w:rsidR="00155F52" w:rsidRPr="00155F52">
        <w:rPr>
          <w:rFonts w:ascii="Arial" w:hAnsi="Arial" w:cs="Arial"/>
          <w:sz w:val="24"/>
          <w:szCs w:val="24"/>
        </w:rPr>
        <w:t>.</w:t>
      </w:r>
    </w:p>
    <w:p w14:paraId="7EC7FE29" w14:textId="77777777" w:rsidR="00155F52" w:rsidRDefault="00155F52" w:rsidP="00155F52">
      <w:pPr>
        <w:spacing w:after="0" w:line="240" w:lineRule="auto"/>
        <w:rPr>
          <w:rFonts w:ascii="Times New Roman" w:eastAsia="Arial" w:hAnsi="Arial" w:cs="Arial"/>
          <w:sz w:val="20"/>
          <w:szCs w:val="24"/>
        </w:rPr>
      </w:pPr>
      <w:r w:rsidRPr="00155F52">
        <w:rPr>
          <w:rFonts w:ascii="Times New Roman" w:eastAsia="Arial" w:hAnsi="Arial" w:cs="Arial"/>
          <w:sz w:val="20"/>
          <w:szCs w:val="24"/>
        </w:rPr>
        <w:tab/>
      </w:r>
    </w:p>
    <w:p w14:paraId="78375D60" w14:textId="77777777" w:rsidR="00C05C4B" w:rsidRDefault="00C05C4B" w:rsidP="00155F52">
      <w:pPr>
        <w:spacing w:after="0" w:line="240" w:lineRule="auto"/>
        <w:rPr>
          <w:rFonts w:ascii="Times New Roman" w:eastAsia="Arial" w:hAnsi="Arial" w:cs="Arial"/>
          <w:sz w:val="20"/>
          <w:szCs w:val="24"/>
        </w:rPr>
      </w:pPr>
    </w:p>
    <w:p w14:paraId="27469616" w14:textId="77777777" w:rsidR="00C05C4B" w:rsidRDefault="00C05C4B" w:rsidP="00155F52">
      <w:pPr>
        <w:spacing w:after="0" w:line="240" w:lineRule="auto"/>
        <w:rPr>
          <w:rFonts w:ascii="Times New Roman" w:eastAsia="Arial" w:hAnsi="Arial" w:cs="Arial"/>
          <w:sz w:val="20"/>
          <w:szCs w:val="24"/>
        </w:rPr>
      </w:pPr>
    </w:p>
    <w:p w14:paraId="2F481B5E" w14:textId="77777777" w:rsidR="00C05C4B" w:rsidRDefault="00C05C4B" w:rsidP="00155F52">
      <w:pPr>
        <w:spacing w:after="0" w:line="240" w:lineRule="auto"/>
        <w:rPr>
          <w:rFonts w:ascii="Times New Roman" w:eastAsia="Arial" w:hAnsi="Arial" w:cs="Arial"/>
          <w:sz w:val="20"/>
          <w:szCs w:val="24"/>
        </w:rPr>
      </w:pPr>
    </w:p>
    <w:p w14:paraId="71F6991E" w14:textId="77777777" w:rsidR="00C05C4B" w:rsidRDefault="00C05C4B" w:rsidP="00155F52">
      <w:pPr>
        <w:spacing w:after="0" w:line="240" w:lineRule="auto"/>
        <w:rPr>
          <w:rFonts w:ascii="Times New Roman" w:eastAsia="Arial" w:hAnsi="Arial" w:cs="Arial"/>
          <w:sz w:val="20"/>
          <w:szCs w:val="24"/>
        </w:rPr>
      </w:pPr>
    </w:p>
    <w:p w14:paraId="373299B7" w14:textId="77777777" w:rsidR="00C05C4B" w:rsidRDefault="00C05C4B" w:rsidP="00155F52">
      <w:pPr>
        <w:spacing w:after="0" w:line="240" w:lineRule="auto"/>
        <w:rPr>
          <w:rFonts w:ascii="Times New Roman" w:eastAsia="Arial" w:hAnsi="Arial" w:cs="Arial"/>
          <w:sz w:val="20"/>
          <w:szCs w:val="24"/>
        </w:rPr>
      </w:pPr>
    </w:p>
    <w:p w14:paraId="490D6A25" w14:textId="77777777" w:rsidR="00C05C4B" w:rsidRDefault="00C05C4B" w:rsidP="00155F52">
      <w:pPr>
        <w:spacing w:after="0" w:line="240" w:lineRule="auto"/>
        <w:rPr>
          <w:rFonts w:ascii="Times New Roman" w:eastAsia="Arial" w:hAnsi="Arial" w:cs="Arial"/>
          <w:sz w:val="20"/>
          <w:szCs w:val="24"/>
        </w:rPr>
      </w:pPr>
    </w:p>
    <w:p w14:paraId="0651D287" w14:textId="77777777" w:rsidR="00C05C4B" w:rsidRDefault="00C05C4B" w:rsidP="00155F52">
      <w:pPr>
        <w:spacing w:after="0" w:line="240" w:lineRule="auto"/>
        <w:rPr>
          <w:rFonts w:ascii="Times New Roman" w:eastAsia="Arial" w:hAnsi="Arial" w:cs="Arial"/>
          <w:sz w:val="20"/>
          <w:szCs w:val="24"/>
        </w:rPr>
      </w:pPr>
    </w:p>
    <w:p w14:paraId="66682FD7" w14:textId="77777777" w:rsidR="00C05C4B" w:rsidRDefault="00C05C4B" w:rsidP="00155F52">
      <w:pPr>
        <w:spacing w:after="0" w:line="240" w:lineRule="auto"/>
        <w:rPr>
          <w:rFonts w:ascii="Times New Roman" w:eastAsia="Arial" w:hAnsi="Arial" w:cs="Arial"/>
          <w:sz w:val="20"/>
          <w:szCs w:val="24"/>
        </w:rPr>
      </w:pPr>
    </w:p>
    <w:p w14:paraId="0FDAFAFA" w14:textId="77777777" w:rsidR="00C05C4B" w:rsidRDefault="00C05C4B" w:rsidP="00155F52">
      <w:pPr>
        <w:spacing w:after="0" w:line="240" w:lineRule="auto"/>
        <w:rPr>
          <w:rFonts w:ascii="Times New Roman" w:eastAsia="Arial" w:hAnsi="Arial" w:cs="Arial"/>
          <w:sz w:val="20"/>
          <w:szCs w:val="24"/>
        </w:rPr>
      </w:pPr>
    </w:p>
    <w:p w14:paraId="11306B3E" w14:textId="77777777" w:rsidR="00C05C4B" w:rsidRDefault="00C05C4B" w:rsidP="00155F52">
      <w:pPr>
        <w:spacing w:after="0" w:line="240" w:lineRule="auto"/>
        <w:rPr>
          <w:rFonts w:ascii="Times New Roman" w:eastAsia="Arial" w:hAnsi="Arial" w:cs="Arial"/>
          <w:sz w:val="20"/>
          <w:szCs w:val="24"/>
        </w:rPr>
      </w:pPr>
    </w:p>
    <w:p w14:paraId="4A3F6979" w14:textId="77777777" w:rsidR="00C05C4B" w:rsidRDefault="00C05C4B" w:rsidP="00155F52">
      <w:pPr>
        <w:spacing w:after="0" w:line="240" w:lineRule="auto"/>
        <w:rPr>
          <w:rFonts w:ascii="Times New Roman" w:eastAsia="Arial" w:hAnsi="Arial" w:cs="Arial"/>
          <w:sz w:val="20"/>
          <w:szCs w:val="24"/>
        </w:rPr>
      </w:pPr>
    </w:p>
    <w:p w14:paraId="00453793" w14:textId="77777777" w:rsidR="00C05C4B" w:rsidRDefault="00C05C4B" w:rsidP="00155F52">
      <w:pPr>
        <w:spacing w:after="0" w:line="240" w:lineRule="auto"/>
        <w:rPr>
          <w:rFonts w:ascii="Times New Roman" w:eastAsia="Arial" w:hAnsi="Arial" w:cs="Arial"/>
          <w:sz w:val="20"/>
          <w:szCs w:val="24"/>
        </w:rPr>
      </w:pPr>
    </w:p>
    <w:p w14:paraId="740E306E" w14:textId="77777777" w:rsidR="00C05C4B" w:rsidRDefault="00C05C4B" w:rsidP="00155F52">
      <w:pPr>
        <w:spacing w:after="0" w:line="240" w:lineRule="auto"/>
        <w:rPr>
          <w:rFonts w:ascii="Times New Roman" w:eastAsia="Arial" w:hAnsi="Arial" w:cs="Arial"/>
          <w:sz w:val="20"/>
          <w:szCs w:val="24"/>
        </w:rPr>
      </w:pPr>
    </w:p>
    <w:p w14:paraId="3D745CA0" w14:textId="77777777" w:rsidR="00C05C4B" w:rsidRDefault="00C05C4B" w:rsidP="00155F52">
      <w:pPr>
        <w:spacing w:after="0" w:line="240" w:lineRule="auto"/>
        <w:rPr>
          <w:rFonts w:ascii="Times New Roman" w:eastAsia="Arial" w:hAnsi="Arial" w:cs="Arial"/>
          <w:sz w:val="20"/>
          <w:szCs w:val="24"/>
        </w:rPr>
      </w:pPr>
    </w:p>
    <w:p w14:paraId="3C324CA2" w14:textId="77777777" w:rsidR="00C05C4B" w:rsidRDefault="00C05C4B" w:rsidP="00155F52">
      <w:pPr>
        <w:spacing w:after="0" w:line="240" w:lineRule="auto"/>
        <w:rPr>
          <w:rFonts w:ascii="Times New Roman" w:eastAsia="Arial" w:hAnsi="Arial" w:cs="Arial"/>
          <w:sz w:val="20"/>
          <w:szCs w:val="24"/>
        </w:rPr>
      </w:pPr>
    </w:p>
    <w:p w14:paraId="1536F5E1" w14:textId="77777777" w:rsidR="00C05C4B" w:rsidRDefault="00C05C4B" w:rsidP="00155F52">
      <w:pPr>
        <w:spacing w:after="0" w:line="240" w:lineRule="auto"/>
        <w:rPr>
          <w:rFonts w:ascii="Times New Roman" w:eastAsia="Arial" w:hAnsi="Arial" w:cs="Arial"/>
          <w:sz w:val="20"/>
          <w:szCs w:val="24"/>
        </w:rPr>
      </w:pPr>
    </w:p>
    <w:p w14:paraId="66793907" w14:textId="77777777" w:rsidR="00C05C4B" w:rsidRDefault="00C05C4B" w:rsidP="00155F52">
      <w:pPr>
        <w:spacing w:after="0" w:line="240" w:lineRule="auto"/>
        <w:rPr>
          <w:rFonts w:ascii="Times New Roman" w:eastAsia="Arial" w:hAnsi="Arial" w:cs="Arial"/>
          <w:sz w:val="20"/>
          <w:szCs w:val="24"/>
        </w:rPr>
      </w:pPr>
    </w:p>
    <w:p w14:paraId="7D912D9C" w14:textId="77777777" w:rsidR="00C05C4B" w:rsidRDefault="00C05C4B" w:rsidP="00155F52">
      <w:pPr>
        <w:spacing w:after="0" w:line="240" w:lineRule="auto"/>
        <w:rPr>
          <w:rFonts w:ascii="Times New Roman" w:eastAsia="Arial" w:hAnsi="Arial" w:cs="Arial"/>
          <w:sz w:val="20"/>
          <w:szCs w:val="24"/>
        </w:rPr>
      </w:pPr>
    </w:p>
    <w:p w14:paraId="36FFCAEE" w14:textId="77777777" w:rsidR="00C05C4B" w:rsidRDefault="00C05C4B" w:rsidP="00155F52">
      <w:pPr>
        <w:spacing w:after="0" w:line="240" w:lineRule="auto"/>
        <w:rPr>
          <w:rFonts w:ascii="Times New Roman" w:eastAsia="Arial" w:hAnsi="Arial" w:cs="Arial"/>
          <w:sz w:val="20"/>
          <w:szCs w:val="24"/>
        </w:rPr>
      </w:pPr>
    </w:p>
    <w:p w14:paraId="6D813B8C" w14:textId="77777777" w:rsidR="00C05C4B" w:rsidRPr="00155F52" w:rsidRDefault="00C05C4B" w:rsidP="00155F52">
      <w:pPr>
        <w:spacing w:after="0" w:line="240" w:lineRule="auto"/>
        <w:rPr>
          <w:rFonts w:ascii="Times New Roman" w:eastAsia="Arial" w:hAnsi="Arial" w:cs="Arial"/>
          <w:sz w:val="20"/>
          <w:szCs w:val="24"/>
        </w:rPr>
      </w:pPr>
    </w:p>
    <w:p w14:paraId="596E79B5" w14:textId="77777777" w:rsidR="00155F52" w:rsidRPr="00155F52" w:rsidRDefault="00155F52" w:rsidP="00155F52">
      <w:pPr>
        <w:spacing w:after="0" w:line="240" w:lineRule="auto"/>
        <w:ind w:left="7200" w:firstLine="720"/>
        <w:rPr>
          <w:rFonts w:ascii="Arial" w:eastAsia="Times New Roman" w:hAnsi="Arial" w:cs="Arial"/>
          <w:b/>
          <w:bCs/>
          <w:sz w:val="24"/>
          <w:szCs w:val="24"/>
          <w:lang w:eastAsia="en-GB"/>
        </w:rPr>
      </w:pPr>
      <w:r w:rsidRPr="00155F52">
        <w:rPr>
          <w:rFonts w:ascii="Arial" w:eastAsia="Arial" w:hAnsi="Arial" w:cs="Arial"/>
          <w:b/>
          <w:bCs/>
          <w:sz w:val="24"/>
          <w:szCs w:val="24"/>
        </w:rPr>
        <w:t>Appendix A</w:t>
      </w:r>
    </w:p>
    <w:p w14:paraId="7E3FF6AF" w14:textId="77777777" w:rsidR="00155F52" w:rsidRPr="00155F52" w:rsidRDefault="00155F52" w:rsidP="00155F52">
      <w:pPr>
        <w:spacing w:after="0" w:line="240" w:lineRule="auto"/>
        <w:ind w:firstLine="720"/>
        <w:rPr>
          <w:rFonts w:ascii="Arial" w:eastAsia="Times New Roman" w:hAnsi="Arial" w:cs="Arial"/>
          <w:b/>
          <w:sz w:val="28"/>
          <w:szCs w:val="28"/>
          <w:u w:val="single"/>
          <w:lang w:eastAsia="en-GB"/>
        </w:rPr>
      </w:pPr>
    </w:p>
    <w:p w14:paraId="76E780EC" w14:textId="77777777" w:rsidR="00155F52" w:rsidRPr="00155F52" w:rsidRDefault="00155F52" w:rsidP="00155F52">
      <w:pPr>
        <w:spacing w:after="0" w:line="240" w:lineRule="auto"/>
        <w:ind w:firstLine="720"/>
        <w:rPr>
          <w:rFonts w:ascii="Arial" w:eastAsia="Times New Roman" w:hAnsi="Arial" w:cs="Arial"/>
          <w:b/>
          <w:sz w:val="28"/>
          <w:szCs w:val="28"/>
          <w:u w:val="single"/>
          <w:lang w:eastAsia="en-GB"/>
        </w:rPr>
      </w:pPr>
      <w:r w:rsidRPr="00155F52">
        <w:rPr>
          <w:rFonts w:ascii="Arial" w:eastAsia="Times New Roman" w:hAnsi="Arial" w:cs="Arial"/>
          <w:b/>
          <w:sz w:val="28"/>
          <w:szCs w:val="28"/>
          <w:u w:val="single"/>
          <w:lang w:eastAsia="en-GB"/>
        </w:rPr>
        <w:t>TREASURY MANAGEMENT PRACTICES</w:t>
      </w:r>
    </w:p>
    <w:p w14:paraId="2A49C690" w14:textId="77777777" w:rsidR="00155F52" w:rsidRPr="00155F52" w:rsidRDefault="00155F52" w:rsidP="00155F52">
      <w:pPr>
        <w:spacing w:after="0" w:line="240" w:lineRule="auto"/>
        <w:ind w:left="1260" w:hanging="540"/>
        <w:jc w:val="center"/>
        <w:rPr>
          <w:rFonts w:ascii="Arial" w:eastAsia="Times New Roman" w:hAnsi="Arial" w:cs="Arial"/>
          <w:b/>
          <w:sz w:val="36"/>
          <w:szCs w:val="36"/>
          <w:u w:val="single"/>
          <w:lang w:eastAsia="en-GB"/>
        </w:rPr>
      </w:pPr>
    </w:p>
    <w:p w14:paraId="6B533A48" w14:textId="77777777" w:rsidR="00155F52" w:rsidRPr="00155F52" w:rsidRDefault="00155F52" w:rsidP="00155F52">
      <w:pPr>
        <w:spacing w:after="0" w:line="240" w:lineRule="auto"/>
        <w:ind w:left="360"/>
        <w:jc w:val="both"/>
        <w:rPr>
          <w:rFonts w:ascii="Arial" w:eastAsia="Times New Roman" w:hAnsi="Arial" w:cs="Arial"/>
          <w:sz w:val="24"/>
          <w:szCs w:val="24"/>
          <w:lang w:eastAsia="en-GB"/>
        </w:rPr>
      </w:pPr>
      <w:r w:rsidRPr="00155F52">
        <w:rPr>
          <w:rFonts w:ascii="Arial" w:eastAsia="Times New Roman" w:hAnsi="Arial" w:cs="Arial"/>
          <w:sz w:val="24"/>
          <w:szCs w:val="24"/>
          <w:lang w:eastAsia="en-GB"/>
        </w:rPr>
        <w:t>The following Treasury Management Practices (TMPs) set out the manner in which the Authority aims to achieve its treasury management policies and objectives, and how it will manage and control those activities.</w:t>
      </w:r>
    </w:p>
    <w:p w14:paraId="72EFD04B" w14:textId="77777777" w:rsidR="00155F52" w:rsidRPr="00155F52" w:rsidRDefault="00155F52" w:rsidP="00155F52">
      <w:pPr>
        <w:spacing w:after="0" w:line="240" w:lineRule="auto"/>
        <w:ind w:left="720"/>
        <w:jc w:val="both"/>
        <w:rPr>
          <w:rFonts w:ascii="Arial" w:eastAsia="Times New Roman" w:hAnsi="Arial" w:cs="Arial"/>
          <w:sz w:val="32"/>
          <w:szCs w:val="32"/>
          <w:lang w:eastAsia="en-GB"/>
        </w:rPr>
      </w:pPr>
    </w:p>
    <w:p w14:paraId="7516BC10" w14:textId="77777777" w:rsidR="00155F52" w:rsidRPr="00155F52" w:rsidRDefault="00155F52" w:rsidP="00155F52">
      <w:pPr>
        <w:numPr>
          <w:ilvl w:val="0"/>
          <w:numId w:val="17"/>
        </w:numPr>
        <w:spacing w:after="0" w:line="240" w:lineRule="auto"/>
        <w:rPr>
          <w:rFonts w:ascii="Arial" w:eastAsia="Times New Roman" w:hAnsi="Arial" w:cs="Arial"/>
          <w:b/>
          <w:sz w:val="24"/>
          <w:szCs w:val="24"/>
          <w:lang w:eastAsia="en-GB"/>
        </w:rPr>
      </w:pPr>
      <w:r w:rsidRPr="00155F52">
        <w:rPr>
          <w:rFonts w:ascii="Arial" w:eastAsia="Times New Roman" w:hAnsi="Arial" w:cs="Arial"/>
          <w:b/>
          <w:sz w:val="24"/>
          <w:szCs w:val="24"/>
          <w:u w:val="single"/>
          <w:lang w:eastAsia="en-GB"/>
        </w:rPr>
        <w:t>TMP 1</w:t>
      </w:r>
      <w:r w:rsidRPr="00155F52">
        <w:rPr>
          <w:rFonts w:ascii="Arial" w:eastAsia="Times New Roman" w:hAnsi="Arial" w:cs="Arial"/>
          <w:b/>
          <w:sz w:val="24"/>
          <w:szCs w:val="24"/>
          <w:lang w:eastAsia="en-GB"/>
        </w:rPr>
        <w:t xml:space="preserve"> </w:t>
      </w:r>
      <w:r w:rsidRPr="00155F52">
        <w:rPr>
          <w:rFonts w:ascii="Arial" w:eastAsia="Times New Roman" w:hAnsi="Arial" w:cs="Arial"/>
          <w:b/>
          <w:sz w:val="24"/>
          <w:szCs w:val="24"/>
          <w:lang w:eastAsia="en-GB"/>
        </w:rPr>
        <w:tab/>
        <w:t>Risk management</w:t>
      </w:r>
    </w:p>
    <w:p w14:paraId="0439A488" w14:textId="77777777" w:rsidR="00155F52" w:rsidRPr="00155F52" w:rsidRDefault="00155F52" w:rsidP="00155F52">
      <w:pPr>
        <w:spacing w:after="0" w:line="240" w:lineRule="auto"/>
        <w:ind w:left="360"/>
        <w:jc w:val="both"/>
        <w:rPr>
          <w:rFonts w:ascii="Arial" w:eastAsia="Times New Roman" w:hAnsi="Arial" w:cs="Arial"/>
          <w:b/>
          <w:sz w:val="24"/>
          <w:szCs w:val="24"/>
          <w:lang w:eastAsia="en-GB"/>
        </w:rPr>
      </w:pPr>
      <w:r w:rsidRPr="00155F52">
        <w:rPr>
          <w:rFonts w:ascii="Arial" w:eastAsia="Arial Unicode MS" w:hAnsi="Arial" w:cs="Times New Roman"/>
          <w:sz w:val="24"/>
          <w:szCs w:val="24"/>
          <w:lang w:eastAsia="en-GB"/>
        </w:rPr>
        <w:t>The Chief Finance &amp; Procurement Officer will design, implement and monitor all arrangements for the identification, management and control of treasury management risk, will report at least annually on the adequacy/suitability thereof, and will report, as a matter of urgency, the circumstances of any actual or likely difficulty in achieving the organisation’s objectives in this respect, all in accordance with the procedures set out in TMP6 Reporting requirements and management information arrangements. In respect of each of the following risks, the arrangements which seek to ensure compliance with these objectives are set out in the schedule to this document.</w:t>
      </w:r>
    </w:p>
    <w:p w14:paraId="3269AC7B" w14:textId="77777777" w:rsidR="00155F52" w:rsidRPr="00155F52" w:rsidRDefault="00155F52" w:rsidP="00155F52">
      <w:pPr>
        <w:spacing w:after="0" w:line="240" w:lineRule="auto"/>
        <w:ind w:left="180" w:right="9"/>
        <w:jc w:val="both"/>
        <w:rPr>
          <w:rFonts w:ascii="Arial" w:eastAsia="Arial Unicode MS" w:hAnsi="Arial" w:cs="Times New Roman"/>
          <w:sz w:val="24"/>
          <w:szCs w:val="24"/>
          <w:lang w:eastAsia="en-GB"/>
        </w:rPr>
      </w:pPr>
    </w:p>
    <w:p w14:paraId="1B0AB191" w14:textId="77777777" w:rsidR="00155F52" w:rsidRPr="00155F52" w:rsidRDefault="00155F52" w:rsidP="00155F52">
      <w:pPr>
        <w:spacing w:after="0" w:line="240" w:lineRule="auto"/>
        <w:ind w:right="9" w:firstLine="709"/>
        <w:jc w:val="both"/>
        <w:rPr>
          <w:rFonts w:ascii="Arial" w:eastAsia="Times New Roman" w:hAnsi="Arial" w:cs="Times New Roman"/>
          <w:sz w:val="24"/>
          <w:szCs w:val="24"/>
          <w:u w:val="single"/>
          <w:lang w:eastAsia="en-GB"/>
        </w:rPr>
      </w:pPr>
      <w:r w:rsidRPr="00155F52">
        <w:rPr>
          <w:rFonts w:ascii="Arial" w:eastAsia="Times New Roman" w:hAnsi="Arial" w:cs="Times New Roman"/>
          <w:sz w:val="24"/>
          <w:szCs w:val="24"/>
          <w:u w:val="single"/>
          <w:lang w:eastAsia="en-GB"/>
        </w:rPr>
        <w:t>Credit and counterparty risk management</w:t>
      </w:r>
    </w:p>
    <w:p w14:paraId="044ADB13" w14:textId="77777777" w:rsidR="00155F52" w:rsidRPr="00155F52" w:rsidRDefault="00155F52" w:rsidP="00155F52">
      <w:pPr>
        <w:spacing w:after="0" w:line="240" w:lineRule="auto"/>
        <w:ind w:left="709" w:right="9" w:firstLine="11"/>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The Authority regards a prime objective of its treasury management activities to be the security of the principal sums it invests. Accordingly, it will ensure that its counterparty lists and limits reflect a prudent attitude towards organisations with which funds may be deposited, and will limit its investment activities to the instruments, methods and techniques referred to in TMP4 Approved Instruments, methods and techniques and listed in the schedule to this document. It also recognises the need to have, and will therefore maintain, a formal counterparty policy in respect of those organisations from which it may borrow, or with whom it may enter into other financing arrangements.</w:t>
      </w:r>
    </w:p>
    <w:p w14:paraId="46C321BF" w14:textId="77777777" w:rsidR="00155F52" w:rsidRPr="00155F52" w:rsidRDefault="00155F52" w:rsidP="00155F52">
      <w:pPr>
        <w:spacing w:after="0" w:line="240" w:lineRule="auto"/>
        <w:ind w:left="180" w:right="9"/>
        <w:jc w:val="both"/>
        <w:rPr>
          <w:rFonts w:ascii="Arial" w:eastAsia="Times New Roman" w:hAnsi="Arial" w:cs="Times New Roman"/>
          <w:sz w:val="24"/>
          <w:szCs w:val="24"/>
          <w:lang w:eastAsia="en-GB"/>
        </w:rPr>
      </w:pPr>
    </w:p>
    <w:p w14:paraId="46F27EEB" w14:textId="77777777" w:rsidR="00155F52" w:rsidRPr="00155F52" w:rsidRDefault="00155F52" w:rsidP="00155F52">
      <w:pPr>
        <w:spacing w:after="0" w:line="240" w:lineRule="auto"/>
        <w:ind w:right="9" w:firstLine="709"/>
        <w:jc w:val="both"/>
        <w:rPr>
          <w:rFonts w:ascii="Arial" w:eastAsia="Times New Roman" w:hAnsi="Arial" w:cs="Times New Roman"/>
          <w:sz w:val="24"/>
          <w:szCs w:val="24"/>
          <w:u w:val="single"/>
          <w:lang w:eastAsia="en-GB"/>
        </w:rPr>
      </w:pPr>
      <w:r w:rsidRPr="00155F52">
        <w:rPr>
          <w:rFonts w:ascii="Arial" w:eastAsia="Times New Roman" w:hAnsi="Arial" w:cs="Times New Roman"/>
          <w:sz w:val="24"/>
          <w:szCs w:val="24"/>
          <w:u w:val="single"/>
          <w:lang w:eastAsia="en-GB"/>
        </w:rPr>
        <w:t>Liquidity risk management</w:t>
      </w:r>
    </w:p>
    <w:p w14:paraId="5FFBD1BD" w14:textId="77777777" w:rsidR="00155F52" w:rsidRPr="00155F52" w:rsidRDefault="00155F52" w:rsidP="00155F52">
      <w:pPr>
        <w:spacing w:after="0" w:line="240" w:lineRule="auto"/>
        <w:ind w:left="709" w:right="9" w:firstLine="11"/>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The Authority will ensure it has adequate though not excessive cash resources, borrowing arrangements, overdraft or standby facilities to enable it at all times to have the level of funds available to which are necessary for the achievement of its business/service objectives.  The Authority will not borrow in advance of need.</w:t>
      </w:r>
    </w:p>
    <w:p w14:paraId="5AAA2DBA" w14:textId="77777777" w:rsidR="00155F52" w:rsidRPr="00155F52" w:rsidRDefault="00155F52" w:rsidP="00155F52">
      <w:pPr>
        <w:spacing w:after="0" w:line="240" w:lineRule="auto"/>
        <w:ind w:left="180" w:right="9"/>
        <w:jc w:val="both"/>
        <w:rPr>
          <w:rFonts w:ascii="Arial" w:eastAsia="Times New Roman" w:hAnsi="Arial" w:cs="Times New Roman"/>
          <w:sz w:val="24"/>
          <w:szCs w:val="24"/>
          <w:lang w:eastAsia="en-GB"/>
        </w:rPr>
      </w:pPr>
    </w:p>
    <w:p w14:paraId="4DA93241" w14:textId="77777777" w:rsidR="00155F52" w:rsidRPr="00155F52" w:rsidRDefault="00155F52" w:rsidP="00155F52">
      <w:pPr>
        <w:spacing w:after="0" w:line="240" w:lineRule="auto"/>
        <w:ind w:right="9" w:firstLine="709"/>
        <w:jc w:val="both"/>
        <w:rPr>
          <w:rFonts w:ascii="Arial" w:eastAsia="Times New Roman" w:hAnsi="Arial" w:cs="Times New Roman"/>
          <w:sz w:val="24"/>
          <w:szCs w:val="24"/>
          <w:u w:val="single"/>
          <w:lang w:eastAsia="en-GB"/>
        </w:rPr>
      </w:pPr>
      <w:r w:rsidRPr="00155F52">
        <w:rPr>
          <w:rFonts w:ascii="Arial" w:eastAsia="Times New Roman" w:hAnsi="Arial" w:cs="Times New Roman"/>
          <w:sz w:val="24"/>
          <w:szCs w:val="24"/>
          <w:u w:val="single"/>
          <w:lang w:eastAsia="en-GB"/>
        </w:rPr>
        <w:t>Interest rate risk management</w:t>
      </w:r>
    </w:p>
    <w:p w14:paraId="6EF9C0DA" w14:textId="77777777" w:rsidR="00155F52" w:rsidRPr="00155F52" w:rsidRDefault="00155F52" w:rsidP="00155F52">
      <w:pPr>
        <w:spacing w:after="0" w:line="240" w:lineRule="auto"/>
        <w:ind w:left="709" w:right="9" w:firstLine="11"/>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The Authority will manage its exposure to fluctuations in interest rates with a view to containing its net interest costs, or securing its interest revenues, in accordance with the amounts provided in its budgetary arrangements.</w:t>
      </w:r>
    </w:p>
    <w:p w14:paraId="7E6851D8" w14:textId="77777777" w:rsidR="00155F52" w:rsidRPr="00155F52" w:rsidRDefault="00155F52" w:rsidP="00155F52">
      <w:pPr>
        <w:spacing w:after="0" w:line="240" w:lineRule="auto"/>
        <w:ind w:left="180" w:right="9"/>
        <w:jc w:val="both"/>
        <w:rPr>
          <w:rFonts w:ascii="Arial" w:eastAsia="Times New Roman" w:hAnsi="Arial" w:cs="Times New Roman"/>
          <w:sz w:val="24"/>
          <w:szCs w:val="24"/>
          <w:lang w:eastAsia="en-GB"/>
        </w:rPr>
      </w:pPr>
    </w:p>
    <w:p w14:paraId="0318C5FB" w14:textId="77777777" w:rsidR="00155F52" w:rsidRPr="00155F52" w:rsidRDefault="00155F52" w:rsidP="00155F52">
      <w:pPr>
        <w:spacing w:after="0" w:line="240" w:lineRule="auto"/>
        <w:ind w:left="709" w:right="9"/>
        <w:jc w:val="both"/>
        <w:rPr>
          <w:rFonts w:ascii="Arial" w:eastAsia="Arial Unicode MS" w:hAnsi="Arial" w:cs="Times New Roman"/>
          <w:sz w:val="24"/>
          <w:szCs w:val="24"/>
          <w:lang w:eastAsia="en-GB"/>
        </w:rPr>
      </w:pPr>
      <w:r w:rsidRPr="00155F52">
        <w:rPr>
          <w:rFonts w:ascii="Arial" w:eastAsia="Times New Roman" w:hAnsi="Arial" w:cs="Times New Roman"/>
          <w:sz w:val="24"/>
          <w:szCs w:val="24"/>
          <w:lang w:eastAsia="en-GB"/>
        </w:rPr>
        <w:t>It will achieve these objectives by the prudent use of its approved financing and investment instruments, methods and techniques, primarily to create stability and certainty of costs and revenues, but at the same time retaining a sufficient degree of flexibility to take advantage of unexpected, potentially advantageous changes in the level or structure of interest rates. The above are subject at all times to the consideration and, if required, approval of any policy or budgetary implications.</w:t>
      </w:r>
    </w:p>
    <w:p w14:paraId="686FE10F" w14:textId="77777777" w:rsidR="00155F52" w:rsidRPr="00155F52" w:rsidRDefault="00155F52" w:rsidP="00155F52">
      <w:pPr>
        <w:spacing w:after="0" w:line="240" w:lineRule="auto"/>
        <w:ind w:left="709" w:right="9"/>
        <w:jc w:val="both"/>
        <w:rPr>
          <w:rFonts w:ascii="Arial" w:eastAsia="Arial Unicode MS" w:hAnsi="Arial" w:cs="Times New Roman"/>
          <w:sz w:val="24"/>
          <w:szCs w:val="24"/>
          <w:lang w:eastAsia="en-GB"/>
        </w:rPr>
      </w:pPr>
    </w:p>
    <w:p w14:paraId="2719E31B" w14:textId="77777777" w:rsidR="00155F52" w:rsidRPr="00155F52" w:rsidRDefault="00155F52" w:rsidP="00155F52">
      <w:pPr>
        <w:spacing w:after="0" w:line="240" w:lineRule="auto"/>
        <w:ind w:right="9" w:firstLine="709"/>
        <w:jc w:val="both"/>
        <w:rPr>
          <w:rFonts w:ascii="Arial" w:eastAsia="Arial Unicode MS" w:hAnsi="Arial" w:cs="Times New Roman"/>
          <w:sz w:val="24"/>
          <w:szCs w:val="24"/>
          <w:lang w:eastAsia="en-GB"/>
        </w:rPr>
      </w:pPr>
      <w:r w:rsidRPr="00155F52">
        <w:rPr>
          <w:rFonts w:ascii="Arial" w:eastAsia="Times New Roman" w:hAnsi="Arial" w:cs="Times New Roman"/>
          <w:sz w:val="24"/>
          <w:szCs w:val="24"/>
          <w:u w:val="single"/>
          <w:lang w:eastAsia="en-GB"/>
        </w:rPr>
        <w:t>Exchange rate risk management</w:t>
      </w:r>
    </w:p>
    <w:p w14:paraId="272A4772" w14:textId="77777777" w:rsidR="00155F52" w:rsidRPr="00155F52" w:rsidRDefault="00155F52" w:rsidP="00155F52">
      <w:pPr>
        <w:spacing w:after="0" w:line="240" w:lineRule="auto"/>
        <w:ind w:left="709" w:right="9"/>
        <w:jc w:val="both"/>
        <w:rPr>
          <w:rFonts w:ascii="Arial" w:eastAsia="Arial Unicode MS" w:hAnsi="Arial" w:cs="Times New Roman"/>
          <w:sz w:val="24"/>
          <w:szCs w:val="24"/>
          <w:lang w:eastAsia="en-GB"/>
        </w:rPr>
      </w:pPr>
      <w:r w:rsidRPr="00155F52">
        <w:rPr>
          <w:rFonts w:ascii="Arial" w:eastAsia="Times New Roman" w:hAnsi="Arial" w:cs="Times New Roman"/>
          <w:sz w:val="24"/>
          <w:szCs w:val="24"/>
          <w:lang w:eastAsia="en-GB"/>
        </w:rPr>
        <w:lastRenderedPageBreak/>
        <w:t>The Authority will manage its exposure to fluctuations in exchange rates so as to minimise any detrimental impact on its budgeted income/expenditure levels.</w:t>
      </w:r>
    </w:p>
    <w:p w14:paraId="1C03A294" w14:textId="77777777" w:rsidR="00155F52" w:rsidRPr="00155F52" w:rsidRDefault="00155F52" w:rsidP="00155F52">
      <w:pPr>
        <w:spacing w:after="0" w:line="240" w:lineRule="auto"/>
        <w:ind w:left="180" w:right="9"/>
        <w:jc w:val="both"/>
        <w:rPr>
          <w:rFonts w:ascii="Arial" w:eastAsia="Arial Unicode MS" w:hAnsi="Arial" w:cs="Times New Roman"/>
          <w:sz w:val="24"/>
          <w:szCs w:val="24"/>
          <w:lang w:eastAsia="en-GB"/>
        </w:rPr>
      </w:pPr>
    </w:p>
    <w:p w14:paraId="5280CA27" w14:textId="77777777" w:rsidR="00155F52" w:rsidRPr="00155F52" w:rsidRDefault="00155F52" w:rsidP="00155F52">
      <w:pPr>
        <w:spacing w:after="0" w:line="240" w:lineRule="auto"/>
        <w:ind w:right="9" w:firstLine="709"/>
        <w:jc w:val="both"/>
        <w:rPr>
          <w:rFonts w:ascii="Arial" w:eastAsia="Arial Unicode MS" w:hAnsi="Arial" w:cs="Times New Roman"/>
          <w:sz w:val="24"/>
          <w:szCs w:val="24"/>
          <w:lang w:eastAsia="en-GB"/>
        </w:rPr>
      </w:pPr>
      <w:r w:rsidRPr="00155F52">
        <w:rPr>
          <w:rFonts w:ascii="Arial" w:eastAsia="Times New Roman" w:hAnsi="Arial" w:cs="Times New Roman"/>
          <w:sz w:val="24"/>
          <w:szCs w:val="24"/>
          <w:u w:val="single"/>
          <w:lang w:eastAsia="en-GB"/>
        </w:rPr>
        <w:t>Refinancing risk management</w:t>
      </w:r>
      <w:r w:rsidRPr="00155F52">
        <w:rPr>
          <w:rFonts w:ascii="Arial" w:eastAsia="Times New Roman" w:hAnsi="Arial" w:cs="Times New Roman"/>
          <w:b/>
          <w:sz w:val="24"/>
          <w:szCs w:val="24"/>
          <w:lang w:eastAsia="en-GB"/>
        </w:rPr>
        <w:t xml:space="preserve"> </w:t>
      </w:r>
    </w:p>
    <w:p w14:paraId="31D81176" w14:textId="77777777" w:rsidR="00155F52" w:rsidRPr="00155F52" w:rsidRDefault="00155F52" w:rsidP="00155F52">
      <w:pPr>
        <w:spacing w:after="0" w:line="240" w:lineRule="auto"/>
        <w:ind w:left="709" w:right="9" w:firstLine="11"/>
        <w:jc w:val="both"/>
        <w:rPr>
          <w:rFonts w:ascii="Arial" w:eastAsia="Arial Unicode MS" w:hAnsi="Arial" w:cs="Times New Roman"/>
          <w:sz w:val="24"/>
          <w:szCs w:val="24"/>
          <w:lang w:eastAsia="en-GB"/>
        </w:rPr>
      </w:pPr>
      <w:r w:rsidRPr="00155F52">
        <w:rPr>
          <w:rFonts w:ascii="Arial" w:eastAsia="Times New Roman" w:hAnsi="Arial" w:cs="Times New Roman"/>
          <w:sz w:val="24"/>
          <w:szCs w:val="24"/>
          <w:lang w:eastAsia="en-GB"/>
        </w:rPr>
        <w:t xml:space="preserve">The Authority will ensure that its borrowing is negotiated, structured and documented, and the maturity profile of the monies raised are managed, with a view to obtaining offer terms for renewal or refinancing, if required, which are competitive and as favourable to the Authority as can reasonably be achieved in the light of market conditions prevailing at the time. </w:t>
      </w:r>
    </w:p>
    <w:p w14:paraId="4922A6CC" w14:textId="77777777" w:rsidR="00155F52" w:rsidRPr="00155F52" w:rsidRDefault="00155F52" w:rsidP="00155F52">
      <w:pPr>
        <w:spacing w:after="0" w:line="240" w:lineRule="auto"/>
        <w:ind w:left="180" w:right="9"/>
        <w:jc w:val="both"/>
        <w:rPr>
          <w:rFonts w:ascii="Arial" w:eastAsia="Arial Unicode MS" w:hAnsi="Arial" w:cs="Times New Roman"/>
          <w:sz w:val="24"/>
          <w:szCs w:val="24"/>
          <w:lang w:eastAsia="en-GB"/>
        </w:rPr>
      </w:pPr>
    </w:p>
    <w:p w14:paraId="5165AC29" w14:textId="77777777" w:rsidR="00155F52" w:rsidRPr="00155F52" w:rsidRDefault="00155F52" w:rsidP="00155F52">
      <w:pPr>
        <w:spacing w:after="0" w:line="240" w:lineRule="auto"/>
        <w:ind w:left="709" w:right="9"/>
        <w:jc w:val="both"/>
        <w:rPr>
          <w:rFonts w:ascii="Arial" w:eastAsia="Arial Unicode MS" w:hAnsi="Arial" w:cs="Times New Roman"/>
          <w:sz w:val="24"/>
          <w:szCs w:val="24"/>
          <w:lang w:eastAsia="en-GB"/>
        </w:rPr>
      </w:pPr>
      <w:r w:rsidRPr="00155F52">
        <w:rPr>
          <w:rFonts w:ascii="Arial" w:eastAsia="Times New Roman" w:hAnsi="Arial" w:cs="Times New Roman"/>
          <w:sz w:val="24"/>
          <w:szCs w:val="24"/>
          <w:lang w:eastAsia="en-GB"/>
        </w:rPr>
        <w:t>It will actively manage its relationships with its counterparties in these transactions in such a manner as to secure this objective and will avoid over-reliance on any one source of funding if this might jeopardise achievement of the above.</w:t>
      </w:r>
    </w:p>
    <w:p w14:paraId="448A88BF" w14:textId="77777777" w:rsidR="00155F52" w:rsidRPr="00155F52" w:rsidRDefault="00155F52" w:rsidP="00155F52">
      <w:pPr>
        <w:spacing w:after="0" w:line="240" w:lineRule="auto"/>
        <w:ind w:left="180" w:right="9"/>
        <w:jc w:val="both"/>
        <w:rPr>
          <w:rFonts w:ascii="Arial" w:eastAsia="Arial Unicode MS" w:hAnsi="Arial" w:cs="Times New Roman"/>
          <w:sz w:val="24"/>
          <w:szCs w:val="24"/>
          <w:lang w:eastAsia="en-GB"/>
        </w:rPr>
      </w:pPr>
    </w:p>
    <w:p w14:paraId="11ACD7CA" w14:textId="77777777" w:rsidR="00155F52" w:rsidRPr="00155F52" w:rsidRDefault="00155F52" w:rsidP="00155F52">
      <w:pPr>
        <w:spacing w:after="0" w:line="240" w:lineRule="auto"/>
        <w:ind w:left="180" w:right="9" w:firstLine="529"/>
        <w:jc w:val="both"/>
        <w:rPr>
          <w:rFonts w:ascii="Arial" w:eastAsia="Times New Roman" w:hAnsi="Arial" w:cs="Times New Roman"/>
          <w:sz w:val="24"/>
          <w:szCs w:val="24"/>
          <w:u w:val="single"/>
          <w:lang w:eastAsia="en-GB"/>
        </w:rPr>
      </w:pPr>
      <w:r w:rsidRPr="00155F52">
        <w:rPr>
          <w:rFonts w:ascii="Arial" w:eastAsia="Times New Roman" w:hAnsi="Arial" w:cs="Times New Roman"/>
          <w:sz w:val="24"/>
          <w:szCs w:val="24"/>
          <w:u w:val="single"/>
          <w:lang w:eastAsia="en-GB"/>
        </w:rPr>
        <w:t>Legal and regulatory risk management</w:t>
      </w:r>
    </w:p>
    <w:p w14:paraId="2EDF100A" w14:textId="77777777" w:rsidR="00155F52" w:rsidRPr="00155F52" w:rsidRDefault="00155F52" w:rsidP="00155F52">
      <w:pPr>
        <w:spacing w:after="0" w:line="240" w:lineRule="auto"/>
        <w:ind w:left="709" w:right="9" w:firstLine="11"/>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The Authority will ensure that all of its treasury management activities comply with its statutory powers and regulatory requirements.  It will demonstrate such compliance, if required to do so, to all parties with whom it deals in such activities.  In framing its credit and counterparty policy under TMP1(i) Credit and counterparty risk management, it will ensure that there is evidence of counterparties’ powers, authority and compliance in respect of the transactions they may affect with the Authority.</w:t>
      </w:r>
    </w:p>
    <w:p w14:paraId="3E771731" w14:textId="77777777" w:rsidR="00155F52" w:rsidRPr="00155F52" w:rsidRDefault="00155F52" w:rsidP="00155F52">
      <w:pPr>
        <w:spacing w:after="0" w:line="240" w:lineRule="auto"/>
        <w:ind w:left="180" w:right="9"/>
        <w:jc w:val="both"/>
        <w:rPr>
          <w:rFonts w:ascii="Arial" w:eastAsia="Times New Roman" w:hAnsi="Arial" w:cs="Times New Roman"/>
          <w:sz w:val="24"/>
          <w:szCs w:val="24"/>
          <w:lang w:eastAsia="en-GB"/>
        </w:rPr>
      </w:pPr>
    </w:p>
    <w:p w14:paraId="79C1782E" w14:textId="77777777" w:rsidR="00155F52" w:rsidRPr="00155F52" w:rsidRDefault="00155F52" w:rsidP="00155F52">
      <w:pPr>
        <w:spacing w:after="0" w:line="240" w:lineRule="auto"/>
        <w:ind w:left="709" w:right="9"/>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 xml:space="preserve">The Authority recognises that future legislative or regulatory changes may impact on its treasury management activities and, so far as it is reasonably able to do so, will seek to minimise the risk of these impacting adversely on the organisation.     </w:t>
      </w:r>
    </w:p>
    <w:p w14:paraId="0E2C848F" w14:textId="77777777" w:rsidR="00155F52" w:rsidRPr="00155F52" w:rsidRDefault="00155F52" w:rsidP="00155F52">
      <w:pPr>
        <w:spacing w:after="0" w:line="240" w:lineRule="auto"/>
        <w:ind w:left="180" w:right="9"/>
        <w:jc w:val="both"/>
        <w:rPr>
          <w:rFonts w:ascii="Arial" w:eastAsia="Times New Roman" w:hAnsi="Arial" w:cs="Times New Roman"/>
          <w:sz w:val="24"/>
          <w:szCs w:val="24"/>
          <w:lang w:eastAsia="en-GB"/>
        </w:rPr>
      </w:pPr>
    </w:p>
    <w:p w14:paraId="5CE62190" w14:textId="77777777" w:rsidR="00155F52" w:rsidRPr="00155F52" w:rsidRDefault="00155F52" w:rsidP="00155F52">
      <w:pPr>
        <w:spacing w:after="0" w:line="240" w:lineRule="auto"/>
        <w:ind w:left="180" w:right="9" w:firstLine="529"/>
        <w:jc w:val="both"/>
        <w:rPr>
          <w:rFonts w:ascii="Arial" w:eastAsia="Arial Unicode MS" w:hAnsi="Arial" w:cs="Times New Roman"/>
          <w:sz w:val="24"/>
          <w:szCs w:val="24"/>
          <w:lang w:eastAsia="en-GB"/>
        </w:rPr>
      </w:pPr>
      <w:r w:rsidRPr="00155F52">
        <w:rPr>
          <w:rFonts w:ascii="Arial" w:eastAsia="Times New Roman" w:hAnsi="Arial" w:cs="Times New Roman"/>
          <w:sz w:val="24"/>
          <w:szCs w:val="24"/>
          <w:u w:val="single"/>
          <w:lang w:eastAsia="en-GB"/>
        </w:rPr>
        <w:t>Fraud, error and corruption, and contingency management</w:t>
      </w:r>
    </w:p>
    <w:p w14:paraId="03A27353" w14:textId="77777777" w:rsidR="00155F52" w:rsidRPr="00155F52" w:rsidRDefault="00155F52" w:rsidP="00155F52">
      <w:pPr>
        <w:spacing w:after="0" w:line="240" w:lineRule="auto"/>
        <w:ind w:left="709" w:right="9" w:firstLine="11"/>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The Authority will ensure that it has identified the circumstances which may expose it to the risk of loss through fraud, error, corruption or other eventualities in its treasury management dealings.  Accordingly, it will employ suitable systems and procedures, and will maintain effective contingency management arrangements, to these ends.</w:t>
      </w:r>
    </w:p>
    <w:p w14:paraId="0A2EDABF" w14:textId="77777777" w:rsidR="00155F52" w:rsidRPr="00155F52" w:rsidRDefault="00155F52" w:rsidP="00155F52">
      <w:pPr>
        <w:spacing w:after="0" w:line="240" w:lineRule="auto"/>
        <w:ind w:left="709" w:right="9" w:firstLine="11"/>
        <w:jc w:val="both"/>
        <w:rPr>
          <w:rFonts w:ascii="Arial" w:eastAsia="Arial Unicode MS" w:hAnsi="Arial" w:cs="Times New Roman"/>
          <w:sz w:val="24"/>
          <w:szCs w:val="24"/>
          <w:lang w:eastAsia="en-GB"/>
        </w:rPr>
      </w:pPr>
    </w:p>
    <w:p w14:paraId="428A8F94" w14:textId="77777777" w:rsidR="00155F52" w:rsidRPr="00155F52" w:rsidRDefault="00155F52" w:rsidP="00155F52">
      <w:pPr>
        <w:spacing w:after="0" w:line="240" w:lineRule="auto"/>
        <w:ind w:left="180" w:right="9" w:firstLine="529"/>
        <w:jc w:val="both"/>
        <w:rPr>
          <w:rFonts w:ascii="Arial" w:eastAsia="Arial Unicode MS" w:hAnsi="Arial" w:cs="Times New Roman"/>
          <w:sz w:val="24"/>
          <w:szCs w:val="24"/>
          <w:lang w:eastAsia="en-GB"/>
        </w:rPr>
      </w:pPr>
      <w:r w:rsidRPr="00155F52">
        <w:rPr>
          <w:rFonts w:ascii="Arial" w:eastAsia="Times New Roman" w:hAnsi="Arial" w:cs="Times New Roman"/>
          <w:sz w:val="24"/>
          <w:szCs w:val="24"/>
          <w:u w:val="single"/>
          <w:lang w:eastAsia="en-GB"/>
        </w:rPr>
        <w:t>Market risk management</w:t>
      </w:r>
      <w:r w:rsidRPr="00155F52">
        <w:rPr>
          <w:rFonts w:ascii="Arial" w:eastAsia="Times New Roman" w:hAnsi="Arial" w:cs="Times New Roman"/>
          <w:b/>
          <w:sz w:val="24"/>
          <w:szCs w:val="24"/>
          <w:lang w:eastAsia="en-GB"/>
        </w:rPr>
        <w:t xml:space="preserve">  </w:t>
      </w:r>
    </w:p>
    <w:p w14:paraId="58B2F176" w14:textId="77777777" w:rsidR="00155F52" w:rsidRPr="00155F52" w:rsidRDefault="00155F52" w:rsidP="00155F52">
      <w:pPr>
        <w:spacing w:after="0" w:line="240" w:lineRule="auto"/>
        <w:ind w:left="709" w:right="9"/>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The Authority will seek to ensure that its stated treasury management policies and objectives will not be compromised by adverse market fluctuations in the value of the principal sums it invests and will accordingly seek to protect itself from the effects of such fluctuations.</w:t>
      </w:r>
    </w:p>
    <w:p w14:paraId="63E62DC2" w14:textId="77777777" w:rsidR="00155F52" w:rsidRPr="00155F52" w:rsidRDefault="00155F52" w:rsidP="00155F52">
      <w:pPr>
        <w:spacing w:after="0" w:line="240" w:lineRule="auto"/>
        <w:ind w:left="709" w:right="9"/>
        <w:jc w:val="both"/>
        <w:rPr>
          <w:rFonts w:ascii="Arial" w:eastAsia="Times New Roman" w:hAnsi="Arial" w:cs="Times New Roman"/>
          <w:sz w:val="24"/>
          <w:szCs w:val="24"/>
          <w:lang w:eastAsia="en-GB"/>
        </w:rPr>
      </w:pPr>
    </w:p>
    <w:p w14:paraId="107648EA" w14:textId="77777777" w:rsidR="00155F52" w:rsidRPr="00155F52" w:rsidRDefault="00155F52" w:rsidP="00155F52">
      <w:pPr>
        <w:spacing w:after="0" w:line="240" w:lineRule="auto"/>
        <w:ind w:left="709" w:right="9"/>
        <w:jc w:val="both"/>
        <w:rPr>
          <w:rFonts w:ascii="Arial" w:eastAsia="Arial Unicode MS" w:hAnsi="Arial" w:cs="Times New Roman"/>
          <w:sz w:val="24"/>
          <w:szCs w:val="24"/>
          <w:u w:val="single"/>
          <w:lang w:eastAsia="en-GB"/>
        </w:rPr>
      </w:pPr>
      <w:r w:rsidRPr="00155F52">
        <w:rPr>
          <w:rFonts w:ascii="Arial" w:eastAsia="Arial Unicode MS" w:hAnsi="Arial" w:cs="Times New Roman"/>
          <w:sz w:val="24"/>
          <w:szCs w:val="24"/>
          <w:u w:val="single"/>
          <w:lang w:eastAsia="en-GB"/>
        </w:rPr>
        <w:t>Environmental, Social &amp; Governance Considerations</w:t>
      </w:r>
    </w:p>
    <w:p w14:paraId="24D7FFE4" w14:textId="77777777" w:rsidR="00155F52" w:rsidRPr="00155F52" w:rsidRDefault="00155F52" w:rsidP="00155F52">
      <w:pPr>
        <w:spacing w:after="0" w:line="240" w:lineRule="auto"/>
        <w:ind w:left="709" w:right="9"/>
        <w:jc w:val="both"/>
        <w:rPr>
          <w:rFonts w:ascii="Arial" w:eastAsia="Arial Unicode MS" w:hAnsi="Arial" w:cs="Times New Roman"/>
          <w:sz w:val="24"/>
          <w:szCs w:val="24"/>
          <w:lang w:eastAsia="en-GB"/>
        </w:rPr>
      </w:pPr>
      <w:r w:rsidRPr="00155F52">
        <w:rPr>
          <w:rFonts w:ascii="Arial" w:eastAsia="Arial Unicode MS" w:hAnsi="Arial" w:cs="Times New Roman"/>
          <w:sz w:val="24"/>
          <w:szCs w:val="24"/>
          <w:lang w:eastAsia="en-GB"/>
        </w:rPr>
        <w:t>The Authority’s credit and counterparty policies set out the policies and practices relating to environmental, social and governance investment considerations. The credit rating agencies that the Authority uses, incorporate ESG risks alongside more traditional financial risk metrics when assessing counterparty ratings.</w:t>
      </w:r>
    </w:p>
    <w:p w14:paraId="0D80A13A" w14:textId="77777777" w:rsidR="00155F52" w:rsidRPr="00155F52" w:rsidRDefault="00155F52" w:rsidP="00155F52">
      <w:pPr>
        <w:spacing w:after="0" w:line="240" w:lineRule="auto"/>
        <w:rPr>
          <w:rFonts w:ascii="Arial" w:eastAsia="Times New Roman" w:hAnsi="Arial" w:cs="Arial"/>
          <w:sz w:val="32"/>
          <w:szCs w:val="32"/>
          <w:lang w:eastAsia="en-GB"/>
        </w:rPr>
      </w:pPr>
    </w:p>
    <w:p w14:paraId="1AB5E7EB" w14:textId="77777777" w:rsidR="00155F52" w:rsidRPr="00155F52" w:rsidRDefault="00155F52" w:rsidP="00155F52">
      <w:pPr>
        <w:numPr>
          <w:ilvl w:val="0"/>
          <w:numId w:val="17"/>
        </w:numPr>
        <w:tabs>
          <w:tab w:val="left" w:pos="709"/>
          <w:tab w:val="left" w:pos="1701"/>
        </w:tabs>
        <w:spacing w:after="0" w:line="240" w:lineRule="auto"/>
        <w:ind w:right="11"/>
        <w:contextualSpacing/>
        <w:jc w:val="both"/>
        <w:outlineLvl w:val="5"/>
        <w:rPr>
          <w:rFonts w:ascii="Arial" w:eastAsia="Times New Roman" w:hAnsi="Arial" w:cs="Times New Roman"/>
          <w:b/>
          <w:sz w:val="24"/>
          <w:szCs w:val="24"/>
          <w:lang w:val="en-US" w:eastAsia="en-GB"/>
        </w:rPr>
      </w:pPr>
      <w:r w:rsidRPr="00155F52">
        <w:rPr>
          <w:rFonts w:ascii="Arial" w:eastAsia="Times New Roman" w:hAnsi="Arial" w:cs="Times New Roman"/>
          <w:b/>
          <w:sz w:val="24"/>
          <w:szCs w:val="24"/>
          <w:lang w:val="en-US" w:eastAsia="en-GB"/>
        </w:rPr>
        <w:tab/>
      </w:r>
      <w:r w:rsidRPr="00155F52">
        <w:rPr>
          <w:rFonts w:ascii="Arial" w:eastAsia="Times New Roman" w:hAnsi="Arial" w:cs="Times New Roman"/>
          <w:b/>
          <w:sz w:val="24"/>
          <w:szCs w:val="24"/>
          <w:u w:val="single"/>
          <w:lang w:val="en-US" w:eastAsia="en-GB"/>
        </w:rPr>
        <w:t>TMP2</w:t>
      </w:r>
      <w:r w:rsidRPr="00155F52">
        <w:rPr>
          <w:rFonts w:ascii="Arial" w:eastAsia="Times New Roman" w:hAnsi="Arial" w:cs="Times New Roman"/>
          <w:b/>
          <w:sz w:val="24"/>
          <w:szCs w:val="24"/>
          <w:lang w:val="en-US" w:eastAsia="en-GB"/>
        </w:rPr>
        <w:t xml:space="preserve"> </w:t>
      </w:r>
      <w:r w:rsidRPr="00155F52">
        <w:rPr>
          <w:rFonts w:ascii="Arial" w:eastAsia="Times New Roman" w:hAnsi="Arial" w:cs="Times New Roman"/>
          <w:b/>
          <w:sz w:val="24"/>
          <w:szCs w:val="24"/>
          <w:lang w:val="en-US" w:eastAsia="en-GB"/>
        </w:rPr>
        <w:tab/>
        <w:t>Performance measurement</w:t>
      </w:r>
    </w:p>
    <w:p w14:paraId="4F8EDE8A" w14:textId="77777777" w:rsidR="00155F52" w:rsidRPr="00155F52" w:rsidRDefault="00155F52" w:rsidP="00155F52">
      <w:pPr>
        <w:tabs>
          <w:tab w:val="left" w:pos="709"/>
          <w:tab w:val="left" w:pos="2127"/>
        </w:tabs>
        <w:spacing w:after="0" w:line="240" w:lineRule="auto"/>
        <w:ind w:left="709" w:right="11"/>
        <w:jc w:val="both"/>
        <w:outlineLvl w:val="5"/>
        <w:rPr>
          <w:rFonts w:ascii="Arial" w:eastAsia="Times New Roman" w:hAnsi="Arial" w:cs="Times New Roman"/>
          <w:sz w:val="24"/>
          <w:szCs w:val="24"/>
          <w:lang w:val="en-US" w:eastAsia="en-GB"/>
        </w:rPr>
      </w:pPr>
      <w:r w:rsidRPr="00155F52">
        <w:rPr>
          <w:rFonts w:ascii="Arial" w:eastAsia="Times New Roman" w:hAnsi="Arial" w:cs="Times New Roman"/>
          <w:sz w:val="24"/>
          <w:szCs w:val="24"/>
          <w:lang w:val="en-US" w:eastAsia="en-GB"/>
        </w:rPr>
        <w:t>The Authority is committed to the pursuit of value for money in its treasury management activities, and to the use of performance methodology in support of that aim, within the framework set out in its Treasury Management Policy Statement.</w:t>
      </w:r>
    </w:p>
    <w:p w14:paraId="36FC2881" w14:textId="77777777" w:rsidR="00155F52" w:rsidRPr="00155F52" w:rsidRDefault="00155F52" w:rsidP="00155F52">
      <w:pPr>
        <w:tabs>
          <w:tab w:val="left" w:pos="709"/>
          <w:tab w:val="left" w:pos="2127"/>
        </w:tabs>
        <w:spacing w:after="0" w:line="240" w:lineRule="auto"/>
        <w:ind w:right="11"/>
        <w:jc w:val="both"/>
        <w:outlineLvl w:val="5"/>
        <w:rPr>
          <w:rFonts w:ascii="Arial" w:eastAsia="Times New Roman" w:hAnsi="Arial" w:cs="Times New Roman"/>
          <w:sz w:val="24"/>
          <w:szCs w:val="24"/>
          <w:lang w:val="en-US" w:eastAsia="en-GB"/>
        </w:rPr>
      </w:pPr>
    </w:p>
    <w:p w14:paraId="02AAA493" w14:textId="77777777" w:rsidR="00155F52" w:rsidRPr="00155F52" w:rsidRDefault="00155F52" w:rsidP="00155F52">
      <w:pPr>
        <w:tabs>
          <w:tab w:val="left" w:pos="709"/>
          <w:tab w:val="left" w:pos="2127"/>
        </w:tabs>
        <w:spacing w:after="0" w:line="240" w:lineRule="auto"/>
        <w:ind w:left="709" w:right="11"/>
        <w:jc w:val="both"/>
        <w:outlineLvl w:val="5"/>
        <w:rPr>
          <w:rFonts w:ascii="Arial" w:eastAsia="Times New Roman" w:hAnsi="Arial" w:cs="Times New Roman"/>
          <w:sz w:val="24"/>
          <w:szCs w:val="24"/>
          <w:lang w:val="en-US" w:eastAsia="en-GB"/>
        </w:rPr>
      </w:pPr>
      <w:r w:rsidRPr="00155F52">
        <w:rPr>
          <w:rFonts w:ascii="Arial" w:eastAsia="Times New Roman" w:hAnsi="Arial" w:cs="Times New Roman"/>
          <w:sz w:val="24"/>
          <w:szCs w:val="24"/>
          <w:lang w:val="en-US" w:eastAsia="en-GB"/>
        </w:rPr>
        <w:lastRenderedPageBreak/>
        <w:t xml:space="preserve">Accordingly, the treasury management function will be the subject of ongoing analysis of the value it adds in support of the Authority’s stated business or service objectives.  It will be the subject of regular examination of alternative methods of service delivery and of other potential improvements. The performance of the treasury management function will be measured using the criteria set out in the schedule to this document. </w:t>
      </w:r>
    </w:p>
    <w:p w14:paraId="6778485B" w14:textId="77777777" w:rsidR="00155F52" w:rsidRPr="00155F52" w:rsidRDefault="00155F52" w:rsidP="00155F52">
      <w:pPr>
        <w:tabs>
          <w:tab w:val="left" w:pos="709"/>
          <w:tab w:val="left" w:pos="851"/>
          <w:tab w:val="left" w:pos="2127"/>
        </w:tabs>
        <w:spacing w:after="0" w:line="240" w:lineRule="auto"/>
        <w:ind w:right="9"/>
        <w:jc w:val="both"/>
        <w:rPr>
          <w:rFonts w:ascii="Tms Rmn" w:eastAsia="Times New Roman" w:hAnsi="Tms Rmn" w:cs="Times New Roman"/>
          <w:sz w:val="24"/>
          <w:szCs w:val="24"/>
          <w:lang w:eastAsia="en-GB"/>
        </w:rPr>
      </w:pPr>
    </w:p>
    <w:p w14:paraId="0C7CCAAB" w14:textId="77777777" w:rsidR="00155F52" w:rsidRPr="00155F52" w:rsidRDefault="00155F52" w:rsidP="00155F52">
      <w:pPr>
        <w:numPr>
          <w:ilvl w:val="0"/>
          <w:numId w:val="15"/>
        </w:numPr>
        <w:tabs>
          <w:tab w:val="left" w:pos="360"/>
          <w:tab w:val="left" w:pos="1701"/>
        </w:tabs>
        <w:spacing w:after="0" w:line="240" w:lineRule="auto"/>
        <w:ind w:right="14"/>
        <w:contextualSpacing/>
        <w:jc w:val="both"/>
        <w:outlineLvl w:val="5"/>
        <w:rPr>
          <w:rFonts w:ascii="Arial" w:eastAsia="Times New Roman" w:hAnsi="Arial" w:cs="Times New Roman"/>
          <w:b/>
          <w:sz w:val="24"/>
          <w:szCs w:val="24"/>
          <w:lang w:val="en-US" w:eastAsia="en-GB"/>
        </w:rPr>
      </w:pPr>
      <w:r w:rsidRPr="00155F52">
        <w:rPr>
          <w:rFonts w:ascii="Arial" w:eastAsia="Times New Roman" w:hAnsi="Arial" w:cs="Times New Roman"/>
          <w:b/>
          <w:sz w:val="24"/>
          <w:szCs w:val="24"/>
          <w:lang w:val="en-US" w:eastAsia="en-GB"/>
        </w:rPr>
        <w:tab/>
      </w:r>
      <w:r w:rsidRPr="00155F52">
        <w:rPr>
          <w:rFonts w:ascii="Arial" w:eastAsia="Times New Roman" w:hAnsi="Arial" w:cs="Times New Roman"/>
          <w:b/>
          <w:sz w:val="24"/>
          <w:szCs w:val="24"/>
          <w:u w:val="single"/>
          <w:lang w:val="en-US" w:eastAsia="en-GB"/>
        </w:rPr>
        <w:t>TMP3</w:t>
      </w:r>
      <w:r w:rsidRPr="00155F52">
        <w:rPr>
          <w:rFonts w:ascii="Arial" w:eastAsia="Times New Roman" w:hAnsi="Arial" w:cs="Times New Roman"/>
          <w:b/>
          <w:sz w:val="24"/>
          <w:szCs w:val="24"/>
          <w:lang w:val="en-US" w:eastAsia="en-GB"/>
        </w:rPr>
        <w:t xml:space="preserve"> </w:t>
      </w:r>
      <w:r w:rsidRPr="00155F52">
        <w:rPr>
          <w:rFonts w:ascii="Arial" w:eastAsia="Times New Roman" w:hAnsi="Arial" w:cs="Times New Roman"/>
          <w:b/>
          <w:sz w:val="24"/>
          <w:szCs w:val="24"/>
          <w:lang w:val="en-US" w:eastAsia="en-GB"/>
        </w:rPr>
        <w:tab/>
        <w:t>Decision-making and analysis</w:t>
      </w:r>
    </w:p>
    <w:p w14:paraId="2A77B30D" w14:textId="77777777" w:rsidR="00155F52" w:rsidRPr="00155F52" w:rsidRDefault="00155F52" w:rsidP="00155F52">
      <w:pPr>
        <w:spacing w:after="0" w:line="240" w:lineRule="auto"/>
        <w:ind w:left="525" w:right="9"/>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The Authority will maintain full records of its treasury management decisions, and of the processes and practices applied in reaching those decisions, both for the purposes of learning from the past, and for demonstrating that reasonable steps were taken to ensure that all issues relevant to those decisions were taken into account at the time.  The issues to be addressed and processes and practices to be pursued in reaching decisions are detailed in the schedule to this document.</w:t>
      </w:r>
    </w:p>
    <w:p w14:paraId="4D1CC4A7" w14:textId="77777777" w:rsidR="00155F52" w:rsidRPr="00155F52" w:rsidRDefault="00155F52" w:rsidP="00155F52">
      <w:pPr>
        <w:tabs>
          <w:tab w:val="left" w:pos="709"/>
          <w:tab w:val="left" w:pos="851"/>
          <w:tab w:val="left" w:pos="2127"/>
        </w:tabs>
        <w:spacing w:after="0" w:line="240" w:lineRule="auto"/>
        <w:ind w:right="9" w:hanging="709"/>
        <w:jc w:val="both"/>
        <w:rPr>
          <w:rFonts w:ascii="Tms Rmn" w:eastAsia="Times New Roman" w:hAnsi="Tms Rmn" w:cs="Times New Roman"/>
          <w:sz w:val="32"/>
          <w:szCs w:val="32"/>
          <w:lang w:eastAsia="en-GB"/>
        </w:rPr>
      </w:pPr>
    </w:p>
    <w:p w14:paraId="63B106B8" w14:textId="5C1ECC9E" w:rsidR="00155F52" w:rsidRPr="00155F52" w:rsidRDefault="00155F52" w:rsidP="00155F52">
      <w:pPr>
        <w:numPr>
          <w:ilvl w:val="0"/>
          <w:numId w:val="15"/>
        </w:numPr>
        <w:spacing w:after="0" w:line="240" w:lineRule="auto"/>
        <w:ind w:left="426" w:right="14" w:hanging="426"/>
        <w:contextualSpacing/>
        <w:jc w:val="both"/>
        <w:outlineLvl w:val="5"/>
        <w:rPr>
          <w:rFonts w:ascii="Arial" w:eastAsia="Times New Roman" w:hAnsi="Arial" w:cs="Times New Roman"/>
          <w:b/>
          <w:sz w:val="24"/>
          <w:szCs w:val="24"/>
          <w:lang w:val="en-US" w:eastAsia="en-GB"/>
        </w:rPr>
      </w:pPr>
      <w:r w:rsidRPr="00155F52">
        <w:rPr>
          <w:rFonts w:ascii="Arial" w:eastAsia="Times New Roman" w:hAnsi="Arial" w:cs="Times New Roman"/>
          <w:b/>
          <w:sz w:val="24"/>
          <w:szCs w:val="24"/>
          <w:u w:val="single"/>
          <w:lang w:val="en-US" w:eastAsia="en-GB"/>
        </w:rPr>
        <w:t>TMP4</w:t>
      </w:r>
      <w:r w:rsidRPr="00155F52">
        <w:rPr>
          <w:rFonts w:ascii="Arial" w:eastAsia="Times New Roman" w:hAnsi="Arial" w:cs="Times New Roman"/>
          <w:b/>
          <w:sz w:val="24"/>
          <w:szCs w:val="24"/>
          <w:lang w:val="en-US" w:eastAsia="en-GB"/>
        </w:rPr>
        <w:tab/>
        <w:t xml:space="preserve">Approved instruments, </w:t>
      </w:r>
      <w:r w:rsidR="00285E60" w:rsidRPr="00155F52">
        <w:rPr>
          <w:rFonts w:ascii="Arial" w:eastAsia="Times New Roman" w:hAnsi="Arial" w:cs="Times New Roman"/>
          <w:b/>
          <w:sz w:val="24"/>
          <w:szCs w:val="24"/>
          <w:lang w:val="en-US" w:eastAsia="en-GB"/>
        </w:rPr>
        <w:t>methods,</w:t>
      </w:r>
      <w:r w:rsidRPr="00155F52">
        <w:rPr>
          <w:rFonts w:ascii="Arial" w:eastAsia="Times New Roman" w:hAnsi="Arial" w:cs="Times New Roman"/>
          <w:b/>
          <w:sz w:val="24"/>
          <w:szCs w:val="24"/>
          <w:lang w:val="en-US" w:eastAsia="en-GB"/>
        </w:rPr>
        <w:t xml:space="preserve"> and techniques</w:t>
      </w:r>
    </w:p>
    <w:p w14:paraId="195BA8B2" w14:textId="77777777" w:rsidR="00155F52" w:rsidRPr="00155F52" w:rsidRDefault="00155F52" w:rsidP="00155F52">
      <w:pPr>
        <w:spacing w:after="0" w:line="240" w:lineRule="auto"/>
        <w:ind w:left="358" w:right="11"/>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The Authority will undertake its treasury management activities by employing only those instruments, methods and techniques detailed in the schedule to this document, and within the limits and parameters defined in TMP1 Risk management.</w:t>
      </w:r>
    </w:p>
    <w:p w14:paraId="6C63850F" w14:textId="77777777" w:rsidR="00155F52" w:rsidRPr="00155F52" w:rsidRDefault="00155F52" w:rsidP="00155F52">
      <w:pPr>
        <w:spacing w:after="0" w:line="240" w:lineRule="auto"/>
        <w:ind w:left="358" w:right="11"/>
        <w:jc w:val="both"/>
        <w:rPr>
          <w:rFonts w:ascii="Arial" w:eastAsia="Times New Roman" w:hAnsi="Arial" w:cs="Times New Roman"/>
          <w:sz w:val="24"/>
          <w:szCs w:val="24"/>
          <w:lang w:eastAsia="en-GB"/>
        </w:rPr>
      </w:pPr>
    </w:p>
    <w:p w14:paraId="40F48CD5" w14:textId="77777777" w:rsidR="00155F52" w:rsidRPr="00155F52" w:rsidRDefault="00155F52" w:rsidP="00155F52">
      <w:pPr>
        <w:spacing w:after="0" w:line="240" w:lineRule="auto"/>
        <w:ind w:left="358" w:right="11"/>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Where the Authority intends to use derivative instruments for the management of risks, these will be limited to those set out in its annual treasury strategy.  The Authority will seek proper advice when entering into arrangements to use such products.</w:t>
      </w:r>
    </w:p>
    <w:p w14:paraId="00CB8EF1" w14:textId="77777777" w:rsidR="00155F52" w:rsidRPr="00155F52" w:rsidRDefault="00155F52" w:rsidP="00155F52">
      <w:pPr>
        <w:tabs>
          <w:tab w:val="left" w:pos="709"/>
          <w:tab w:val="left" w:pos="851"/>
          <w:tab w:val="left" w:pos="2127"/>
        </w:tabs>
        <w:spacing w:after="0" w:line="240" w:lineRule="auto"/>
        <w:ind w:right="9"/>
        <w:jc w:val="both"/>
        <w:rPr>
          <w:rFonts w:ascii="Tms Rmn" w:eastAsia="Times New Roman" w:hAnsi="Tms Rmn" w:cs="Times New Roman"/>
          <w:szCs w:val="24"/>
          <w:lang w:eastAsia="en-GB"/>
        </w:rPr>
      </w:pPr>
    </w:p>
    <w:p w14:paraId="1C375293" w14:textId="77777777" w:rsidR="00155F52" w:rsidRPr="00155F52" w:rsidRDefault="00155F52" w:rsidP="00155F52">
      <w:pPr>
        <w:tabs>
          <w:tab w:val="left" w:pos="1701"/>
        </w:tabs>
        <w:spacing w:after="0" w:line="240" w:lineRule="auto"/>
        <w:ind w:left="360" w:right="-46" w:hanging="540"/>
        <w:jc w:val="both"/>
        <w:rPr>
          <w:rFonts w:ascii="Arial" w:eastAsia="Times New Roman" w:hAnsi="Arial" w:cs="Times New Roman"/>
          <w:b/>
          <w:sz w:val="24"/>
          <w:szCs w:val="24"/>
          <w:lang w:eastAsia="en-GB"/>
        </w:rPr>
      </w:pPr>
      <w:r w:rsidRPr="00155F52">
        <w:rPr>
          <w:rFonts w:ascii="Arial" w:eastAsia="Times New Roman" w:hAnsi="Arial" w:cs="Times New Roman"/>
          <w:sz w:val="24"/>
          <w:szCs w:val="24"/>
          <w:lang w:eastAsia="en-GB"/>
        </w:rPr>
        <w:t>5.</w:t>
      </w:r>
      <w:r w:rsidRPr="00155F52">
        <w:rPr>
          <w:rFonts w:ascii="Arial" w:eastAsia="Times New Roman" w:hAnsi="Arial" w:cs="Times New Roman"/>
          <w:sz w:val="24"/>
          <w:szCs w:val="24"/>
          <w:lang w:eastAsia="en-GB"/>
        </w:rPr>
        <w:tab/>
      </w:r>
      <w:r w:rsidRPr="00155F52">
        <w:rPr>
          <w:rFonts w:ascii="Arial" w:eastAsia="Times New Roman" w:hAnsi="Arial" w:cs="Times New Roman"/>
          <w:b/>
          <w:sz w:val="24"/>
          <w:szCs w:val="24"/>
          <w:u w:val="single"/>
          <w:lang w:eastAsia="en-GB"/>
        </w:rPr>
        <w:t>TMP5</w:t>
      </w:r>
      <w:r w:rsidRPr="00155F52">
        <w:rPr>
          <w:rFonts w:ascii="Arial" w:eastAsia="Times New Roman" w:hAnsi="Arial" w:cs="Times New Roman"/>
          <w:b/>
          <w:sz w:val="24"/>
          <w:szCs w:val="24"/>
          <w:lang w:eastAsia="en-GB"/>
        </w:rPr>
        <w:t xml:space="preserve"> </w:t>
      </w:r>
      <w:r w:rsidRPr="00155F52">
        <w:rPr>
          <w:rFonts w:ascii="Arial" w:eastAsia="Times New Roman" w:hAnsi="Arial" w:cs="Times New Roman"/>
          <w:b/>
          <w:sz w:val="24"/>
          <w:szCs w:val="24"/>
          <w:lang w:eastAsia="en-GB"/>
        </w:rPr>
        <w:tab/>
        <w:t>Organisation, clarity and segregation of responsibilities, and dealing arrangements</w:t>
      </w:r>
    </w:p>
    <w:p w14:paraId="11678C86" w14:textId="77777777" w:rsidR="00155F52" w:rsidRPr="00155F52" w:rsidRDefault="00155F52" w:rsidP="00155F52">
      <w:pPr>
        <w:spacing w:after="0" w:line="240" w:lineRule="auto"/>
        <w:ind w:left="360" w:right="9"/>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 xml:space="preserve">The Authority considers it essential, for the purposes of the effective control and monitoring of its treasury management activities, and for the reduction of the risk of fraud or error, and for the pursuit of optimum performance, that these activities are structured and managed in a fully integrated manner, and that there is at all times a clarity of treasury management responsibilities. </w:t>
      </w:r>
    </w:p>
    <w:p w14:paraId="4C86BBB8" w14:textId="77777777" w:rsidR="00155F52" w:rsidRPr="00155F52" w:rsidRDefault="00155F52" w:rsidP="00155F52">
      <w:pPr>
        <w:spacing w:after="0" w:line="240" w:lineRule="auto"/>
        <w:ind w:right="9" w:hanging="731"/>
        <w:jc w:val="both"/>
        <w:rPr>
          <w:rFonts w:ascii="Arial" w:eastAsia="Times New Roman" w:hAnsi="Arial" w:cs="Times New Roman"/>
          <w:sz w:val="24"/>
          <w:szCs w:val="24"/>
          <w:lang w:eastAsia="en-GB"/>
        </w:rPr>
      </w:pPr>
    </w:p>
    <w:p w14:paraId="67DC6B87" w14:textId="77777777" w:rsidR="00155F52" w:rsidRPr="00155F52" w:rsidRDefault="00155F52" w:rsidP="00155F52">
      <w:pPr>
        <w:spacing w:after="0" w:line="240" w:lineRule="auto"/>
        <w:ind w:left="360" w:right="9"/>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The principles on which this will be based is a clear distinction between those charged with setting treasury management policies and those charged with implementing and controlling these policies, particularly with regard to the execution and transmission of funds, the recording and administering of treasury management decisions, and the audit and review of the treasury management function.</w:t>
      </w:r>
    </w:p>
    <w:p w14:paraId="0E160EEF" w14:textId="77777777" w:rsidR="00155F52" w:rsidRPr="00155F52" w:rsidRDefault="00155F52" w:rsidP="00155F52">
      <w:pPr>
        <w:spacing w:after="0" w:line="240" w:lineRule="auto"/>
        <w:ind w:right="9" w:hanging="731"/>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ab/>
      </w:r>
    </w:p>
    <w:p w14:paraId="7F47A815" w14:textId="77777777" w:rsidR="00155F52" w:rsidRPr="00155F52" w:rsidRDefault="00155F52" w:rsidP="00155F52">
      <w:pPr>
        <w:spacing w:after="0" w:line="240" w:lineRule="auto"/>
        <w:ind w:left="360" w:right="9"/>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If and when the Authority intends, as a result of lack of resources or other circumstances, to depart from these principles, the Chief Finance &amp; Procurement Officer will ensure that the reasons are properly reported in accordance with TMP6</w:t>
      </w:r>
      <w:r w:rsidRPr="00155F52">
        <w:rPr>
          <w:rFonts w:ascii="Arial" w:eastAsia="Times New Roman" w:hAnsi="Arial" w:cs="Times New Roman"/>
          <w:i/>
          <w:sz w:val="24"/>
          <w:szCs w:val="24"/>
          <w:lang w:eastAsia="en-GB"/>
        </w:rPr>
        <w:t xml:space="preserve"> </w:t>
      </w:r>
      <w:r w:rsidRPr="00155F52">
        <w:rPr>
          <w:rFonts w:ascii="Arial" w:eastAsia="Times New Roman" w:hAnsi="Arial" w:cs="Times New Roman"/>
          <w:sz w:val="24"/>
          <w:szCs w:val="24"/>
          <w:lang w:eastAsia="en-GB"/>
        </w:rPr>
        <w:t>Reporting requirements and management information arrangements, and the implications properly considered and evaluated.</w:t>
      </w:r>
    </w:p>
    <w:p w14:paraId="7B0835D8" w14:textId="77777777" w:rsidR="00155F52" w:rsidRPr="00155F52" w:rsidRDefault="00155F52" w:rsidP="00155F52">
      <w:pPr>
        <w:spacing w:after="0" w:line="240" w:lineRule="auto"/>
        <w:ind w:right="9" w:hanging="731"/>
        <w:jc w:val="both"/>
        <w:rPr>
          <w:rFonts w:ascii="Arial" w:eastAsia="Times New Roman" w:hAnsi="Arial" w:cs="Times New Roman"/>
          <w:sz w:val="24"/>
          <w:szCs w:val="24"/>
          <w:lang w:eastAsia="en-GB"/>
        </w:rPr>
      </w:pPr>
    </w:p>
    <w:p w14:paraId="0506A85E" w14:textId="77777777" w:rsidR="00155F52" w:rsidRPr="00155F52" w:rsidRDefault="00155F52" w:rsidP="00155F52">
      <w:pPr>
        <w:spacing w:after="0" w:line="240" w:lineRule="auto"/>
        <w:ind w:left="360" w:right="9"/>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The Chief Finance &amp; Procurement Officer will ensure that there are clear written statements of the responsibilities for each post engaged in treasury management, and the arrangement for absence cover.  The present arrangements are detailed in the schedule to this document.</w:t>
      </w:r>
    </w:p>
    <w:p w14:paraId="6B75CC3A" w14:textId="77777777" w:rsidR="00155F52" w:rsidRPr="00155F52" w:rsidRDefault="00155F52" w:rsidP="00155F52">
      <w:pPr>
        <w:spacing w:after="0" w:line="240" w:lineRule="auto"/>
        <w:ind w:right="9" w:hanging="731"/>
        <w:jc w:val="both"/>
        <w:rPr>
          <w:rFonts w:ascii="Arial" w:eastAsia="Times New Roman" w:hAnsi="Arial" w:cs="Times New Roman"/>
          <w:sz w:val="24"/>
          <w:szCs w:val="24"/>
          <w:lang w:eastAsia="en-GB"/>
        </w:rPr>
      </w:pPr>
    </w:p>
    <w:p w14:paraId="2128C21C" w14:textId="77777777" w:rsidR="00155F52" w:rsidRPr="00155F52" w:rsidRDefault="00155F52" w:rsidP="00155F52">
      <w:pPr>
        <w:spacing w:after="0" w:line="240" w:lineRule="auto"/>
        <w:ind w:left="360" w:right="9"/>
        <w:jc w:val="both"/>
        <w:rPr>
          <w:rFonts w:ascii="Arial" w:eastAsia="Times New Roman" w:hAnsi="Arial" w:cs="Times New Roman"/>
          <w:sz w:val="24"/>
          <w:szCs w:val="24"/>
          <w:lang w:val="en-US" w:eastAsia="en-GB"/>
        </w:rPr>
      </w:pPr>
      <w:r w:rsidRPr="00155F52">
        <w:rPr>
          <w:rFonts w:ascii="Arial" w:eastAsia="Times New Roman" w:hAnsi="Arial" w:cs="Times New Roman"/>
          <w:sz w:val="24"/>
          <w:szCs w:val="24"/>
          <w:lang w:val="en-US" w:eastAsia="en-GB"/>
        </w:rPr>
        <w:t>The Chief Finance &amp; Procurement Officer will ensure there is proper documentation for all deals and transactions, and that procedures exist for the effective transmission of funds.  The present arrangements are detailed in the schedule to this document.</w:t>
      </w:r>
    </w:p>
    <w:p w14:paraId="33AB7B86" w14:textId="77777777" w:rsidR="00155F52" w:rsidRPr="00155F52" w:rsidRDefault="00155F52" w:rsidP="00155F52">
      <w:pPr>
        <w:spacing w:after="0" w:line="240" w:lineRule="auto"/>
        <w:ind w:right="9" w:hanging="731"/>
        <w:jc w:val="both"/>
        <w:rPr>
          <w:rFonts w:ascii="Arial" w:eastAsia="Times New Roman" w:hAnsi="Arial" w:cs="Times New Roman"/>
          <w:sz w:val="24"/>
          <w:szCs w:val="24"/>
          <w:lang w:eastAsia="en-GB"/>
        </w:rPr>
      </w:pPr>
    </w:p>
    <w:p w14:paraId="54AE84DE" w14:textId="77777777" w:rsidR="00155F52" w:rsidRPr="00155F52" w:rsidRDefault="00155F52" w:rsidP="00155F52">
      <w:pPr>
        <w:spacing w:after="0" w:line="240" w:lineRule="auto"/>
        <w:ind w:left="360" w:right="9"/>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The delegation to the Chief Finance &amp; Procurement Officer in respect of treasury management is set out in the schedule to this document.  The Chief Finance &amp; Procurement Officer will fulfil all such responsibilities in accordance with the Authority’s policy statement and TMPs and, as a CIPFA member, the Standard of Professional Practice on Treasury Management.</w:t>
      </w:r>
    </w:p>
    <w:p w14:paraId="462C1389" w14:textId="77777777" w:rsidR="00155F52" w:rsidRPr="00155F52" w:rsidRDefault="00155F52" w:rsidP="00155F52">
      <w:pPr>
        <w:tabs>
          <w:tab w:val="left" w:pos="851"/>
          <w:tab w:val="left" w:pos="2127"/>
        </w:tabs>
        <w:spacing w:after="0" w:line="240" w:lineRule="auto"/>
        <w:ind w:right="9"/>
        <w:jc w:val="both"/>
        <w:rPr>
          <w:rFonts w:ascii="Arial" w:eastAsia="Times New Roman" w:hAnsi="Arial" w:cs="Times New Roman"/>
          <w:sz w:val="32"/>
          <w:szCs w:val="32"/>
          <w:lang w:eastAsia="en-GB"/>
        </w:rPr>
      </w:pPr>
    </w:p>
    <w:p w14:paraId="23F65546" w14:textId="77777777" w:rsidR="00155F52" w:rsidRPr="00155F52" w:rsidRDefault="00155F52" w:rsidP="00155F52">
      <w:pPr>
        <w:tabs>
          <w:tab w:val="left" w:pos="360"/>
        </w:tabs>
        <w:spacing w:after="0" w:line="240" w:lineRule="auto"/>
        <w:ind w:left="360" w:right="14" w:hanging="540"/>
        <w:jc w:val="both"/>
        <w:rPr>
          <w:rFonts w:ascii="Arial" w:eastAsia="Times New Roman" w:hAnsi="Arial" w:cs="Times New Roman"/>
          <w:b/>
          <w:sz w:val="24"/>
          <w:szCs w:val="24"/>
          <w:lang w:eastAsia="en-GB"/>
        </w:rPr>
      </w:pPr>
      <w:r w:rsidRPr="00155F52">
        <w:rPr>
          <w:rFonts w:ascii="Arial" w:eastAsia="Times New Roman" w:hAnsi="Arial" w:cs="Times New Roman"/>
          <w:sz w:val="24"/>
          <w:szCs w:val="24"/>
          <w:lang w:eastAsia="en-GB"/>
        </w:rPr>
        <w:t>6.</w:t>
      </w:r>
      <w:r w:rsidRPr="00155F52">
        <w:rPr>
          <w:rFonts w:ascii="Arial" w:eastAsia="Times New Roman" w:hAnsi="Arial" w:cs="Times New Roman"/>
          <w:sz w:val="24"/>
          <w:szCs w:val="24"/>
          <w:lang w:eastAsia="en-GB"/>
        </w:rPr>
        <w:tab/>
      </w:r>
      <w:r w:rsidRPr="00155F52">
        <w:rPr>
          <w:rFonts w:ascii="Arial" w:eastAsia="Times New Roman" w:hAnsi="Arial" w:cs="Times New Roman"/>
          <w:b/>
          <w:sz w:val="24"/>
          <w:szCs w:val="24"/>
          <w:u w:val="single"/>
          <w:lang w:eastAsia="en-GB"/>
        </w:rPr>
        <w:t>TMP6</w:t>
      </w:r>
      <w:r w:rsidRPr="00155F52">
        <w:rPr>
          <w:rFonts w:ascii="Arial" w:eastAsia="Times New Roman" w:hAnsi="Arial" w:cs="Times New Roman"/>
          <w:b/>
          <w:sz w:val="24"/>
          <w:szCs w:val="24"/>
          <w:lang w:eastAsia="en-GB"/>
        </w:rPr>
        <w:t xml:space="preserve"> </w:t>
      </w:r>
      <w:r w:rsidRPr="00155F52">
        <w:rPr>
          <w:rFonts w:ascii="Arial" w:eastAsia="Times New Roman" w:hAnsi="Arial" w:cs="Times New Roman"/>
          <w:b/>
          <w:sz w:val="24"/>
          <w:szCs w:val="24"/>
          <w:lang w:eastAsia="en-GB"/>
        </w:rPr>
        <w:tab/>
        <w:t>Reporting requirements and management information arrangements</w:t>
      </w:r>
    </w:p>
    <w:p w14:paraId="3C32247D" w14:textId="77777777" w:rsidR="00155F52" w:rsidRPr="00155F52" w:rsidRDefault="00155F52" w:rsidP="00155F52">
      <w:pPr>
        <w:spacing w:after="0" w:line="240" w:lineRule="auto"/>
        <w:ind w:left="360" w:right="9"/>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The Authority will ensure that regular reports are prepared and considered on the implementation of its treasury management policies; on the effects of decisions taken and the transactions executed in pursuit of those policies; on the implications of changes, particularly budgetary, resulting from regulatory, economic, market or other factors affecting its treasury management activities; and on the performance of the treasury management function.</w:t>
      </w:r>
    </w:p>
    <w:p w14:paraId="6AAEA2E1" w14:textId="77777777" w:rsidR="00155F52" w:rsidRPr="00155F52" w:rsidRDefault="00155F52" w:rsidP="00155F52">
      <w:pPr>
        <w:spacing w:after="0" w:line="240" w:lineRule="auto"/>
        <w:ind w:right="9" w:hanging="731"/>
        <w:jc w:val="both"/>
        <w:rPr>
          <w:rFonts w:ascii="Arial" w:eastAsia="Times New Roman" w:hAnsi="Arial" w:cs="Times New Roman"/>
          <w:sz w:val="24"/>
          <w:szCs w:val="24"/>
          <w:lang w:eastAsia="en-GB"/>
        </w:rPr>
      </w:pPr>
    </w:p>
    <w:p w14:paraId="48AB78EA" w14:textId="77777777" w:rsidR="00155F52" w:rsidRPr="00155F52" w:rsidRDefault="00155F52" w:rsidP="00155F52">
      <w:pPr>
        <w:spacing w:after="0" w:line="240" w:lineRule="auto"/>
        <w:ind w:left="360" w:right="9"/>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As a minimum, the Authority and Finance &amp; Resources Committee will receive:</w:t>
      </w:r>
    </w:p>
    <w:p w14:paraId="754A876A" w14:textId="602B3F5B" w:rsidR="00155F52" w:rsidRPr="00155F52" w:rsidRDefault="00155F52" w:rsidP="00155F52">
      <w:pPr>
        <w:numPr>
          <w:ilvl w:val="0"/>
          <w:numId w:val="16"/>
        </w:numPr>
        <w:spacing w:after="0" w:line="240" w:lineRule="auto"/>
        <w:ind w:left="1080" w:right="9"/>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 xml:space="preserve">an annual report on the strategy and plan to be pursued in the coming </w:t>
      </w:r>
      <w:r w:rsidR="001078F2" w:rsidRPr="00155F52">
        <w:rPr>
          <w:rFonts w:ascii="Arial" w:eastAsia="Times New Roman" w:hAnsi="Arial" w:cs="Times New Roman"/>
          <w:sz w:val="24"/>
          <w:szCs w:val="24"/>
          <w:lang w:eastAsia="en-GB"/>
        </w:rPr>
        <w:t>year.</w:t>
      </w:r>
    </w:p>
    <w:p w14:paraId="4739E89D" w14:textId="41089066" w:rsidR="00155F52" w:rsidRPr="00155F52" w:rsidRDefault="00155F52" w:rsidP="00155F52">
      <w:pPr>
        <w:numPr>
          <w:ilvl w:val="0"/>
          <w:numId w:val="16"/>
        </w:numPr>
        <w:spacing w:after="0" w:line="240" w:lineRule="auto"/>
        <w:ind w:left="1080" w:right="9"/>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 xml:space="preserve">a mid-year </w:t>
      </w:r>
      <w:r w:rsidR="001078F2" w:rsidRPr="00155F52">
        <w:rPr>
          <w:rFonts w:ascii="Arial" w:eastAsia="Times New Roman" w:hAnsi="Arial" w:cs="Times New Roman"/>
          <w:sz w:val="24"/>
          <w:szCs w:val="24"/>
          <w:lang w:eastAsia="en-GB"/>
        </w:rPr>
        <w:t>review.</w:t>
      </w:r>
    </w:p>
    <w:p w14:paraId="139DB9A9" w14:textId="77777777" w:rsidR="00155F52" w:rsidRPr="00155F52" w:rsidRDefault="00155F52" w:rsidP="00155F52">
      <w:pPr>
        <w:numPr>
          <w:ilvl w:val="0"/>
          <w:numId w:val="16"/>
        </w:numPr>
        <w:tabs>
          <w:tab w:val="num" w:pos="1080"/>
        </w:tabs>
        <w:spacing w:after="0" w:line="240" w:lineRule="auto"/>
        <w:ind w:left="1080" w:right="9"/>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an annual report on the performance of the treasury management function, on the effects of the decisions taken and the transactions executed in the past year, and on any circumstances of non-compliance with the organisation’s Treasury Management Policy Statement and TMPs.</w:t>
      </w:r>
    </w:p>
    <w:p w14:paraId="24E84E14" w14:textId="77777777" w:rsidR="00155F52" w:rsidRPr="00155F52" w:rsidRDefault="00155F52" w:rsidP="00155F52">
      <w:pPr>
        <w:spacing w:after="0" w:line="240" w:lineRule="auto"/>
        <w:ind w:left="360" w:right="9"/>
        <w:jc w:val="both"/>
        <w:rPr>
          <w:rFonts w:ascii="Arial" w:eastAsia="Times New Roman" w:hAnsi="Arial" w:cs="Times New Roman"/>
          <w:sz w:val="24"/>
          <w:szCs w:val="24"/>
          <w:lang w:eastAsia="en-GB"/>
        </w:rPr>
      </w:pPr>
    </w:p>
    <w:p w14:paraId="7F082C41" w14:textId="77777777" w:rsidR="00155F52" w:rsidRPr="00155F52" w:rsidRDefault="00155F52" w:rsidP="00155F52">
      <w:pPr>
        <w:tabs>
          <w:tab w:val="left" w:pos="851"/>
          <w:tab w:val="left" w:pos="2127"/>
        </w:tabs>
        <w:spacing w:after="0" w:line="240" w:lineRule="auto"/>
        <w:ind w:right="9"/>
        <w:jc w:val="both"/>
        <w:rPr>
          <w:rFonts w:ascii="Arial" w:eastAsia="Times New Roman" w:hAnsi="Arial" w:cs="Times New Roman"/>
          <w:sz w:val="32"/>
          <w:szCs w:val="32"/>
          <w:lang w:eastAsia="en-GB"/>
        </w:rPr>
      </w:pPr>
      <w:r w:rsidRPr="00155F52">
        <w:rPr>
          <w:rFonts w:ascii="Arial" w:eastAsia="Times New Roman" w:hAnsi="Arial" w:cs="Times New Roman"/>
          <w:sz w:val="32"/>
          <w:szCs w:val="32"/>
          <w:lang w:eastAsia="en-GB"/>
        </w:rPr>
        <w:tab/>
      </w:r>
    </w:p>
    <w:p w14:paraId="7796B564" w14:textId="77777777" w:rsidR="00155F52" w:rsidRPr="00155F52" w:rsidRDefault="00155F52" w:rsidP="00155F52">
      <w:pPr>
        <w:spacing w:after="0" w:line="240" w:lineRule="auto"/>
        <w:ind w:left="360" w:right="9" w:hanging="540"/>
        <w:jc w:val="both"/>
        <w:rPr>
          <w:rFonts w:ascii="Arial" w:eastAsia="Times New Roman" w:hAnsi="Arial" w:cs="Times New Roman"/>
          <w:b/>
          <w:sz w:val="24"/>
          <w:szCs w:val="24"/>
          <w:lang w:eastAsia="en-GB"/>
        </w:rPr>
      </w:pPr>
      <w:r w:rsidRPr="00155F52">
        <w:rPr>
          <w:rFonts w:ascii="Arial" w:eastAsia="Times New Roman" w:hAnsi="Arial" w:cs="Times New Roman"/>
          <w:sz w:val="24"/>
          <w:szCs w:val="24"/>
          <w:lang w:eastAsia="en-GB"/>
        </w:rPr>
        <w:t>7.</w:t>
      </w:r>
      <w:r w:rsidRPr="00155F52">
        <w:rPr>
          <w:rFonts w:ascii="Arial" w:eastAsia="Times New Roman" w:hAnsi="Arial" w:cs="Times New Roman"/>
          <w:sz w:val="24"/>
          <w:szCs w:val="24"/>
          <w:lang w:eastAsia="en-GB"/>
        </w:rPr>
        <w:tab/>
      </w:r>
      <w:r w:rsidRPr="00155F52">
        <w:rPr>
          <w:rFonts w:ascii="Arial" w:eastAsia="Times New Roman" w:hAnsi="Arial" w:cs="Times New Roman"/>
          <w:b/>
          <w:sz w:val="24"/>
          <w:szCs w:val="24"/>
          <w:u w:val="single"/>
          <w:lang w:eastAsia="en-GB"/>
        </w:rPr>
        <w:t>TMP7</w:t>
      </w:r>
      <w:r w:rsidRPr="00155F52">
        <w:rPr>
          <w:rFonts w:ascii="Arial" w:eastAsia="Times New Roman" w:hAnsi="Arial" w:cs="Times New Roman"/>
          <w:b/>
          <w:sz w:val="24"/>
          <w:szCs w:val="24"/>
          <w:lang w:eastAsia="en-GB"/>
        </w:rPr>
        <w:t xml:space="preserve"> </w:t>
      </w:r>
      <w:r w:rsidRPr="00155F52">
        <w:rPr>
          <w:rFonts w:ascii="Arial" w:eastAsia="Times New Roman" w:hAnsi="Arial" w:cs="Times New Roman"/>
          <w:b/>
          <w:sz w:val="24"/>
          <w:szCs w:val="24"/>
          <w:lang w:eastAsia="en-GB"/>
        </w:rPr>
        <w:tab/>
        <w:t>Budgeting, accounting and audit arrangements</w:t>
      </w:r>
    </w:p>
    <w:p w14:paraId="6BB9C03A" w14:textId="77777777" w:rsidR="00155F52" w:rsidRPr="00155F52" w:rsidRDefault="00155F52" w:rsidP="00155F52">
      <w:pPr>
        <w:spacing w:after="0" w:line="240" w:lineRule="auto"/>
        <w:ind w:left="358" w:right="11"/>
        <w:jc w:val="both"/>
        <w:rPr>
          <w:rFonts w:ascii="Arial" w:eastAsia="Times New Roman" w:hAnsi="Arial" w:cs="Times New Roman"/>
          <w:sz w:val="24"/>
          <w:szCs w:val="24"/>
          <w:lang w:val="en-US" w:eastAsia="en-GB"/>
        </w:rPr>
      </w:pPr>
      <w:r w:rsidRPr="00155F52">
        <w:rPr>
          <w:rFonts w:ascii="Arial" w:eastAsia="Times New Roman" w:hAnsi="Arial" w:cs="Times New Roman"/>
          <w:sz w:val="24"/>
          <w:szCs w:val="24"/>
          <w:lang w:val="en-US" w:eastAsia="en-GB"/>
        </w:rPr>
        <w:t>The Chief Finance &amp; Procurement Officer will prepare, and the Authority will approve and, if necessary, from time to time amend, an annual budget for treasury management, which will bring together all of the costs involved in running the treasury management function, together with associated income.  The matters to be included in the budget will at a minimum be those required by statute or regulation, together with such information as will demonstrate compliance with the TMPs.  Budgeting procedures are set out in the schedule to this document.  The Chief Finance &amp; Procurement Officer will exercise effective controls over this budget and will report any major variations.</w:t>
      </w:r>
    </w:p>
    <w:p w14:paraId="5010577F" w14:textId="77777777" w:rsidR="00155F52" w:rsidRPr="00155F52" w:rsidRDefault="00155F52" w:rsidP="00155F52">
      <w:pPr>
        <w:tabs>
          <w:tab w:val="left" w:pos="851"/>
          <w:tab w:val="left" w:pos="2127"/>
          <w:tab w:val="left" w:pos="2694"/>
          <w:tab w:val="left" w:pos="2835"/>
          <w:tab w:val="left" w:pos="2977"/>
        </w:tabs>
        <w:spacing w:after="0" w:line="240" w:lineRule="exact"/>
        <w:ind w:right="9"/>
        <w:jc w:val="both"/>
        <w:rPr>
          <w:rFonts w:ascii="Arial" w:eastAsia="Times New Roman" w:hAnsi="Arial" w:cs="Times New Roman"/>
          <w:sz w:val="24"/>
          <w:szCs w:val="24"/>
          <w:lang w:val="en-US" w:eastAsia="en-GB"/>
        </w:rPr>
      </w:pPr>
    </w:p>
    <w:p w14:paraId="1DF988AB" w14:textId="77777777" w:rsidR="00155F52" w:rsidRPr="00155F52" w:rsidRDefault="00155F52" w:rsidP="00155F52">
      <w:pPr>
        <w:spacing w:after="0" w:line="240" w:lineRule="auto"/>
        <w:ind w:left="358" w:right="11"/>
        <w:jc w:val="both"/>
        <w:rPr>
          <w:rFonts w:ascii="Arial" w:eastAsia="Times New Roman" w:hAnsi="Arial" w:cs="Times New Roman"/>
          <w:sz w:val="24"/>
          <w:szCs w:val="24"/>
          <w:lang w:val="en-US" w:eastAsia="en-GB"/>
        </w:rPr>
      </w:pPr>
      <w:r w:rsidRPr="00155F52">
        <w:rPr>
          <w:rFonts w:ascii="Arial" w:eastAsia="Times New Roman" w:hAnsi="Arial" w:cs="Times New Roman"/>
          <w:sz w:val="24"/>
          <w:szCs w:val="24"/>
          <w:lang w:val="en-US" w:eastAsia="en-GB"/>
        </w:rPr>
        <w:t>The Authority will account for its treasury management activities, for decisions made and transactions executed, in accordance with appropriate accounting practices and standards, and with statutory and regulatory requirements in force for the time being.  The present form of this function’s accounts is set out in the schedule to this document.</w:t>
      </w:r>
    </w:p>
    <w:p w14:paraId="08FCC052" w14:textId="77777777" w:rsidR="00155F52" w:rsidRPr="00155F52" w:rsidRDefault="00155F52" w:rsidP="00155F52">
      <w:pPr>
        <w:spacing w:after="0" w:line="240" w:lineRule="auto"/>
        <w:ind w:left="180"/>
        <w:rPr>
          <w:rFonts w:ascii="Arial" w:eastAsia="Times New Roman" w:hAnsi="Arial" w:cs="Arial"/>
          <w:sz w:val="24"/>
          <w:szCs w:val="24"/>
          <w:lang w:eastAsia="en-GB"/>
        </w:rPr>
      </w:pPr>
    </w:p>
    <w:p w14:paraId="636AC61B" w14:textId="77777777" w:rsidR="00155F52" w:rsidRPr="00155F52" w:rsidRDefault="00155F52" w:rsidP="00155F52">
      <w:pPr>
        <w:spacing w:after="0" w:line="240" w:lineRule="auto"/>
        <w:ind w:left="360" w:right="9" w:hanging="2"/>
        <w:jc w:val="both"/>
        <w:rPr>
          <w:rFonts w:ascii="Arial" w:eastAsia="Times New Roman" w:hAnsi="Arial" w:cs="Times New Roman"/>
          <w:sz w:val="24"/>
          <w:szCs w:val="24"/>
          <w:lang w:eastAsia="en-GB"/>
        </w:rPr>
      </w:pPr>
      <w:r w:rsidRPr="00155F52">
        <w:rPr>
          <w:rFonts w:ascii="Arial" w:eastAsia="Times New Roman" w:hAnsi="Arial" w:cs="Times New Roman"/>
          <w:sz w:val="24"/>
          <w:szCs w:val="24"/>
          <w:lang w:eastAsia="en-GB"/>
        </w:rPr>
        <w:t>The Authority will ensure that its auditors, and those charged with regulatory review, have access to all information and papers supporting the activities of the treasury management function as are necessary for the proper fulfilment of their roles, and that such information and papers demonstrate compliance with external and internal policies and approved practices. The information made available under present arrangements is detailed in the schedule to this document.</w:t>
      </w:r>
    </w:p>
    <w:p w14:paraId="123EDC1E" w14:textId="77777777" w:rsidR="00155F52" w:rsidRPr="00155F52" w:rsidRDefault="00155F52" w:rsidP="00155F52">
      <w:pPr>
        <w:tabs>
          <w:tab w:val="left" w:pos="851"/>
          <w:tab w:val="left" w:pos="2127"/>
          <w:tab w:val="left" w:pos="2694"/>
          <w:tab w:val="left" w:pos="2835"/>
          <w:tab w:val="left" w:pos="2977"/>
        </w:tabs>
        <w:spacing w:after="0" w:line="240" w:lineRule="auto"/>
        <w:ind w:right="9"/>
        <w:jc w:val="both"/>
        <w:rPr>
          <w:rFonts w:ascii="Arial" w:eastAsia="Times New Roman" w:hAnsi="Arial" w:cs="Times New Roman"/>
          <w:sz w:val="32"/>
          <w:szCs w:val="32"/>
          <w:lang w:eastAsia="en-GB"/>
        </w:rPr>
      </w:pPr>
    </w:p>
    <w:p w14:paraId="108F2A5E" w14:textId="77777777" w:rsidR="00155F52" w:rsidRPr="00155F52" w:rsidRDefault="00155F52" w:rsidP="00155F52">
      <w:pPr>
        <w:spacing w:after="0" w:line="240" w:lineRule="auto"/>
        <w:ind w:left="360" w:right="9" w:hanging="540"/>
        <w:jc w:val="both"/>
        <w:rPr>
          <w:rFonts w:ascii="Arial" w:eastAsia="Times New Roman" w:hAnsi="Arial" w:cs="Times New Roman"/>
          <w:b/>
          <w:sz w:val="24"/>
          <w:szCs w:val="24"/>
          <w:lang w:eastAsia="en-GB"/>
        </w:rPr>
      </w:pPr>
      <w:r w:rsidRPr="00155F52">
        <w:rPr>
          <w:rFonts w:ascii="Arial" w:eastAsia="Times New Roman" w:hAnsi="Arial" w:cs="Times New Roman"/>
          <w:sz w:val="24"/>
          <w:szCs w:val="24"/>
          <w:lang w:eastAsia="en-GB"/>
        </w:rPr>
        <w:t>8.</w:t>
      </w:r>
      <w:r w:rsidRPr="00155F52">
        <w:rPr>
          <w:rFonts w:ascii="Arial" w:eastAsia="Times New Roman" w:hAnsi="Arial" w:cs="Times New Roman"/>
          <w:sz w:val="24"/>
          <w:szCs w:val="24"/>
          <w:lang w:eastAsia="en-GB"/>
        </w:rPr>
        <w:tab/>
      </w:r>
      <w:r w:rsidRPr="00155F52">
        <w:rPr>
          <w:rFonts w:ascii="Arial" w:eastAsia="Times New Roman" w:hAnsi="Arial" w:cs="Times New Roman"/>
          <w:b/>
          <w:sz w:val="24"/>
          <w:szCs w:val="24"/>
          <w:u w:val="single"/>
          <w:lang w:eastAsia="en-GB"/>
        </w:rPr>
        <w:t>TMP8</w:t>
      </w:r>
      <w:r w:rsidRPr="00155F52">
        <w:rPr>
          <w:rFonts w:ascii="Arial" w:eastAsia="Times New Roman" w:hAnsi="Arial" w:cs="Times New Roman"/>
          <w:b/>
          <w:sz w:val="24"/>
          <w:szCs w:val="24"/>
          <w:lang w:eastAsia="en-GB"/>
        </w:rPr>
        <w:t xml:space="preserve"> </w:t>
      </w:r>
      <w:r w:rsidRPr="00155F52">
        <w:rPr>
          <w:rFonts w:ascii="Arial" w:eastAsia="Times New Roman" w:hAnsi="Arial" w:cs="Times New Roman"/>
          <w:b/>
          <w:sz w:val="24"/>
          <w:szCs w:val="24"/>
          <w:lang w:eastAsia="en-GB"/>
        </w:rPr>
        <w:tab/>
        <w:t>Cash and cash flow management</w:t>
      </w:r>
    </w:p>
    <w:p w14:paraId="5F5905DA" w14:textId="77777777" w:rsidR="00155F52" w:rsidRPr="00155F52" w:rsidRDefault="00155F52" w:rsidP="00155F52">
      <w:pPr>
        <w:spacing w:after="0" w:line="240" w:lineRule="auto"/>
        <w:ind w:left="358" w:right="11"/>
        <w:jc w:val="both"/>
        <w:rPr>
          <w:rFonts w:ascii="Arial" w:eastAsia="Times New Roman" w:hAnsi="Arial" w:cs="Times New Roman"/>
          <w:sz w:val="24"/>
          <w:szCs w:val="24"/>
          <w:lang w:val="en-US" w:eastAsia="en-GB"/>
        </w:rPr>
      </w:pPr>
      <w:r w:rsidRPr="00155F52">
        <w:rPr>
          <w:rFonts w:ascii="Arial" w:eastAsia="Times New Roman" w:hAnsi="Arial" w:cs="Times New Roman"/>
          <w:sz w:val="24"/>
          <w:szCs w:val="24"/>
          <w:lang w:val="en-US" w:eastAsia="en-GB"/>
        </w:rPr>
        <w:t xml:space="preserve">Unless statutory or regulatory requirements demand otherwise, all monies in the hands of the Authority will be under the control of the Chief Finance &amp; Procurement Officer and will be aggregated for cash flow purposes.  Cash flow projections will be prepared on a regular and timely basis, and the Chief Finance &amp; Procurement Officer will ensure that </w:t>
      </w:r>
      <w:r w:rsidRPr="00155F52">
        <w:rPr>
          <w:rFonts w:ascii="Arial" w:eastAsia="Times New Roman" w:hAnsi="Arial" w:cs="Times New Roman"/>
          <w:sz w:val="24"/>
          <w:szCs w:val="24"/>
          <w:lang w:val="en-US" w:eastAsia="en-GB"/>
        </w:rPr>
        <w:lastRenderedPageBreak/>
        <w:t>these are adequate for the purposes of monitoring compliance with TMP1(i) Liquidity risk management. The present arrangements for preparing cash flow projections are set out in the schedule to this document.</w:t>
      </w:r>
    </w:p>
    <w:p w14:paraId="754274C1" w14:textId="77777777" w:rsidR="00155F52" w:rsidRPr="00155F52" w:rsidRDefault="00155F52" w:rsidP="00155F52">
      <w:pPr>
        <w:spacing w:after="0" w:line="240" w:lineRule="auto"/>
        <w:ind w:left="284" w:right="11"/>
        <w:jc w:val="both"/>
        <w:rPr>
          <w:rFonts w:ascii="Arial" w:eastAsia="Times New Roman" w:hAnsi="Arial" w:cs="Times New Roman"/>
          <w:sz w:val="32"/>
          <w:szCs w:val="32"/>
          <w:lang w:val="en-US" w:eastAsia="en-GB"/>
        </w:rPr>
      </w:pPr>
      <w:r w:rsidRPr="00155F52">
        <w:rPr>
          <w:rFonts w:ascii="Arial" w:eastAsia="Times New Roman" w:hAnsi="Arial" w:cs="Times New Roman"/>
          <w:sz w:val="32"/>
          <w:szCs w:val="32"/>
          <w:lang w:val="en-US" w:eastAsia="en-GB"/>
        </w:rPr>
        <w:tab/>
      </w:r>
    </w:p>
    <w:p w14:paraId="1185F3EC" w14:textId="77777777" w:rsidR="00155F52" w:rsidRPr="00155F52" w:rsidRDefault="00155F52" w:rsidP="00155F52">
      <w:pPr>
        <w:spacing w:after="0" w:line="240" w:lineRule="exact"/>
        <w:ind w:left="360" w:right="9" w:hanging="540"/>
        <w:jc w:val="both"/>
        <w:rPr>
          <w:rFonts w:ascii="Arial" w:eastAsia="Times New Roman" w:hAnsi="Arial" w:cs="Times New Roman"/>
          <w:b/>
          <w:sz w:val="24"/>
          <w:szCs w:val="24"/>
          <w:lang w:val="en-US" w:eastAsia="en-GB"/>
        </w:rPr>
      </w:pPr>
      <w:r w:rsidRPr="00155F52">
        <w:rPr>
          <w:rFonts w:ascii="Arial" w:eastAsia="Times New Roman" w:hAnsi="Arial" w:cs="Times New Roman"/>
          <w:sz w:val="24"/>
          <w:szCs w:val="24"/>
          <w:lang w:val="en-US" w:eastAsia="en-GB"/>
        </w:rPr>
        <w:t>9.</w:t>
      </w:r>
      <w:r w:rsidRPr="00155F52">
        <w:rPr>
          <w:rFonts w:ascii="Arial" w:eastAsia="Times New Roman" w:hAnsi="Arial" w:cs="Times New Roman"/>
          <w:sz w:val="24"/>
          <w:szCs w:val="24"/>
          <w:lang w:val="en-US" w:eastAsia="en-GB"/>
        </w:rPr>
        <w:tab/>
      </w:r>
      <w:r w:rsidRPr="00155F52">
        <w:rPr>
          <w:rFonts w:ascii="Arial" w:eastAsia="Times New Roman" w:hAnsi="Arial" w:cs="Times New Roman"/>
          <w:b/>
          <w:sz w:val="24"/>
          <w:szCs w:val="24"/>
          <w:u w:val="single"/>
          <w:lang w:val="en-US" w:eastAsia="en-GB"/>
        </w:rPr>
        <w:t>TMP9</w:t>
      </w:r>
      <w:r w:rsidRPr="00155F52">
        <w:rPr>
          <w:rFonts w:ascii="Arial" w:eastAsia="Times New Roman" w:hAnsi="Arial" w:cs="Times New Roman"/>
          <w:b/>
          <w:sz w:val="24"/>
          <w:szCs w:val="24"/>
          <w:lang w:val="en-US" w:eastAsia="en-GB"/>
        </w:rPr>
        <w:t xml:space="preserve"> </w:t>
      </w:r>
      <w:r w:rsidRPr="00155F52">
        <w:rPr>
          <w:rFonts w:ascii="Arial" w:eastAsia="Times New Roman" w:hAnsi="Arial" w:cs="Times New Roman"/>
          <w:b/>
          <w:sz w:val="24"/>
          <w:szCs w:val="24"/>
          <w:lang w:val="en-US" w:eastAsia="en-GB"/>
        </w:rPr>
        <w:tab/>
        <w:t>Money laundering</w:t>
      </w:r>
    </w:p>
    <w:p w14:paraId="5AEB561C" w14:textId="77777777" w:rsidR="00155F52" w:rsidRPr="00155F52" w:rsidRDefault="00155F52" w:rsidP="00155F52">
      <w:pPr>
        <w:spacing w:after="0" w:line="240" w:lineRule="auto"/>
        <w:ind w:left="358" w:right="11"/>
        <w:jc w:val="both"/>
        <w:rPr>
          <w:rFonts w:ascii="Arial" w:eastAsia="Times New Roman" w:hAnsi="Arial" w:cs="Times New Roman"/>
          <w:sz w:val="24"/>
          <w:szCs w:val="24"/>
          <w:lang w:val="en-US" w:eastAsia="en-GB"/>
        </w:rPr>
      </w:pPr>
      <w:r w:rsidRPr="00155F52">
        <w:rPr>
          <w:rFonts w:ascii="Arial" w:eastAsia="Times New Roman" w:hAnsi="Arial" w:cs="Times New Roman"/>
          <w:sz w:val="24"/>
          <w:szCs w:val="24"/>
          <w:lang w:val="en-US" w:eastAsia="en-GB"/>
        </w:rPr>
        <w:t xml:space="preserve">The Authority is alert to the possibility that it may become the subject of an attempt to involve it in a transaction involving the laundering of money.  Accordingly, it will ensure that staff involved in treasury management activities are fully aware of their responsibilities with regards this. The present safeguards, including the name of the officer to whom any suspicions should be reported, are detailed in the schedule to this document. </w:t>
      </w:r>
    </w:p>
    <w:p w14:paraId="115364EA" w14:textId="77777777" w:rsidR="00155F52" w:rsidRPr="00155F52" w:rsidRDefault="00155F52" w:rsidP="00155F52">
      <w:pPr>
        <w:spacing w:after="0" w:line="240" w:lineRule="auto"/>
        <w:ind w:left="358" w:right="11" w:hanging="539"/>
        <w:jc w:val="both"/>
        <w:rPr>
          <w:rFonts w:ascii="Arial" w:eastAsia="Times New Roman" w:hAnsi="Arial" w:cs="Times New Roman"/>
          <w:sz w:val="32"/>
          <w:szCs w:val="32"/>
          <w:lang w:val="en-US" w:eastAsia="en-GB"/>
        </w:rPr>
      </w:pPr>
    </w:p>
    <w:p w14:paraId="47531855" w14:textId="77777777" w:rsidR="00155F52" w:rsidRPr="00155F52" w:rsidRDefault="00155F52" w:rsidP="00155F52">
      <w:pPr>
        <w:spacing w:after="0" w:line="240" w:lineRule="auto"/>
        <w:ind w:left="360" w:right="9" w:hanging="540"/>
        <w:jc w:val="both"/>
        <w:rPr>
          <w:rFonts w:ascii="Arial" w:eastAsia="Times New Roman" w:hAnsi="Arial" w:cs="Times New Roman"/>
          <w:b/>
          <w:sz w:val="24"/>
          <w:szCs w:val="24"/>
          <w:lang w:eastAsia="en-GB"/>
        </w:rPr>
      </w:pPr>
      <w:r w:rsidRPr="00155F52">
        <w:rPr>
          <w:rFonts w:ascii="Arial" w:eastAsia="Times New Roman" w:hAnsi="Arial" w:cs="Times New Roman"/>
          <w:sz w:val="24"/>
          <w:szCs w:val="24"/>
          <w:lang w:eastAsia="en-GB"/>
        </w:rPr>
        <w:t>10.</w:t>
      </w:r>
      <w:r w:rsidRPr="00155F52">
        <w:rPr>
          <w:rFonts w:ascii="Arial" w:eastAsia="Times New Roman" w:hAnsi="Arial" w:cs="Times New Roman"/>
          <w:sz w:val="24"/>
          <w:szCs w:val="24"/>
          <w:lang w:eastAsia="en-GB"/>
        </w:rPr>
        <w:tab/>
      </w:r>
      <w:r w:rsidRPr="00155F52">
        <w:rPr>
          <w:rFonts w:ascii="Arial" w:eastAsia="Times New Roman" w:hAnsi="Arial" w:cs="Times New Roman"/>
          <w:b/>
          <w:sz w:val="24"/>
          <w:szCs w:val="24"/>
          <w:u w:val="single"/>
          <w:lang w:eastAsia="en-GB"/>
        </w:rPr>
        <w:t>TMP10</w:t>
      </w:r>
      <w:r w:rsidRPr="00155F52">
        <w:rPr>
          <w:rFonts w:ascii="Arial" w:eastAsia="Times New Roman" w:hAnsi="Arial" w:cs="Times New Roman"/>
          <w:b/>
          <w:sz w:val="24"/>
          <w:szCs w:val="24"/>
          <w:lang w:eastAsia="en-GB"/>
        </w:rPr>
        <w:t xml:space="preserve"> </w:t>
      </w:r>
      <w:r w:rsidRPr="00155F52">
        <w:rPr>
          <w:rFonts w:ascii="Arial" w:eastAsia="Times New Roman" w:hAnsi="Arial" w:cs="Times New Roman"/>
          <w:b/>
          <w:sz w:val="24"/>
          <w:szCs w:val="24"/>
          <w:lang w:eastAsia="en-GB"/>
        </w:rPr>
        <w:tab/>
        <w:t>Training and qualifications</w:t>
      </w:r>
    </w:p>
    <w:p w14:paraId="59D95EFA" w14:textId="77777777" w:rsidR="00155F52" w:rsidRPr="00155F52" w:rsidRDefault="00155F52" w:rsidP="00155F52">
      <w:pPr>
        <w:spacing w:after="0" w:line="240" w:lineRule="auto"/>
        <w:ind w:left="358" w:right="11"/>
        <w:jc w:val="both"/>
        <w:rPr>
          <w:rFonts w:ascii="Arial" w:eastAsia="Times New Roman" w:hAnsi="Arial" w:cs="Times New Roman"/>
          <w:sz w:val="24"/>
          <w:szCs w:val="24"/>
          <w:lang w:val="en-US" w:eastAsia="en-GB"/>
        </w:rPr>
      </w:pPr>
      <w:r w:rsidRPr="00155F52">
        <w:rPr>
          <w:rFonts w:ascii="Arial" w:eastAsia="Times New Roman" w:hAnsi="Arial" w:cs="Times New Roman"/>
          <w:sz w:val="24"/>
          <w:szCs w:val="24"/>
          <w:lang w:val="en-US" w:eastAsia="en-GB"/>
        </w:rPr>
        <w:t>The Authority recognises the importance of ensuring that all staff involved in the treasury management function are fully equipped to undertake the duties and responsibilities allocated to them.  It will therefore seek to appoint individuals who are both capable and experienced and will provide training for staff to enable them to acquire and maintain an appropriate level of expertise, knowledge and skills.  The present arrangements are detailed in the schedule to this document.</w:t>
      </w:r>
    </w:p>
    <w:p w14:paraId="031D7E75" w14:textId="77777777" w:rsidR="00155F52" w:rsidRPr="00155F52" w:rsidRDefault="00155F52" w:rsidP="00155F52">
      <w:pPr>
        <w:spacing w:after="0" w:line="240" w:lineRule="auto"/>
        <w:ind w:left="358" w:right="11"/>
        <w:jc w:val="both"/>
        <w:rPr>
          <w:rFonts w:ascii="Arial" w:eastAsia="Times New Roman" w:hAnsi="Arial" w:cs="Times New Roman"/>
          <w:sz w:val="24"/>
          <w:szCs w:val="24"/>
          <w:lang w:val="en-US" w:eastAsia="en-GB"/>
        </w:rPr>
      </w:pPr>
    </w:p>
    <w:p w14:paraId="1D88F59E" w14:textId="77777777" w:rsidR="00155F52" w:rsidRPr="00155F52" w:rsidRDefault="00155F52" w:rsidP="00155F52">
      <w:pPr>
        <w:spacing w:after="0" w:line="240" w:lineRule="auto"/>
        <w:ind w:left="358" w:right="11"/>
        <w:jc w:val="both"/>
        <w:rPr>
          <w:rFonts w:ascii="Arial" w:eastAsia="Times New Roman" w:hAnsi="Arial" w:cs="Times New Roman"/>
          <w:sz w:val="24"/>
          <w:szCs w:val="24"/>
          <w:lang w:val="en-US" w:eastAsia="en-GB"/>
        </w:rPr>
      </w:pPr>
      <w:r w:rsidRPr="00155F52">
        <w:rPr>
          <w:rFonts w:ascii="Arial" w:eastAsia="Times New Roman" w:hAnsi="Arial" w:cs="Times New Roman"/>
          <w:sz w:val="24"/>
          <w:szCs w:val="24"/>
          <w:lang w:val="en-US" w:eastAsia="en-GB"/>
        </w:rPr>
        <w:t>The Chief Finance &amp; Procurement Officer will ensure that Members of the committee providing a scrutiny function have access to regular training relevant to their responsibilities.</w:t>
      </w:r>
    </w:p>
    <w:p w14:paraId="2A438133" w14:textId="77777777" w:rsidR="00155F52" w:rsidRPr="00155F52" w:rsidRDefault="00155F52" w:rsidP="00155F52">
      <w:pPr>
        <w:spacing w:after="0" w:line="240" w:lineRule="auto"/>
        <w:ind w:left="180"/>
        <w:rPr>
          <w:rFonts w:ascii="Arial" w:eastAsia="Times New Roman" w:hAnsi="Arial" w:cs="Arial"/>
          <w:sz w:val="32"/>
          <w:szCs w:val="32"/>
          <w:lang w:eastAsia="en-GB"/>
        </w:rPr>
      </w:pPr>
    </w:p>
    <w:p w14:paraId="7AC040FD" w14:textId="77777777" w:rsidR="00155F52" w:rsidRPr="00155F52" w:rsidRDefault="00155F52" w:rsidP="00155F52">
      <w:pPr>
        <w:spacing w:after="0" w:line="240" w:lineRule="auto"/>
        <w:ind w:left="360" w:right="14" w:hanging="540"/>
        <w:jc w:val="both"/>
        <w:rPr>
          <w:rFonts w:ascii="Arial" w:eastAsia="Times New Roman" w:hAnsi="Arial" w:cs="Times New Roman"/>
          <w:b/>
          <w:sz w:val="24"/>
          <w:szCs w:val="24"/>
          <w:lang w:eastAsia="en-GB"/>
        </w:rPr>
      </w:pPr>
      <w:r w:rsidRPr="00155F52">
        <w:rPr>
          <w:rFonts w:ascii="Arial" w:eastAsia="Times New Roman" w:hAnsi="Arial" w:cs="Times New Roman"/>
          <w:sz w:val="24"/>
          <w:szCs w:val="24"/>
          <w:lang w:eastAsia="en-GB"/>
        </w:rPr>
        <w:t>11.</w:t>
      </w:r>
      <w:r w:rsidRPr="00155F52">
        <w:rPr>
          <w:rFonts w:ascii="Arial" w:eastAsia="Times New Roman" w:hAnsi="Arial" w:cs="Times New Roman"/>
          <w:sz w:val="24"/>
          <w:szCs w:val="24"/>
          <w:lang w:eastAsia="en-GB"/>
        </w:rPr>
        <w:tab/>
      </w:r>
      <w:r w:rsidRPr="00155F52">
        <w:rPr>
          <w:rFonts w:ascii="Arial" w:eastAsia="Times New Roman" w:hAnsi="Arial" w:cs="Times New Roman"/>
          <w:b/>
          <w:sz w:val="24"/>
          <w:szCs w:val="24"/>
          <w:u w:val="single"/>
          <w:lang w:eastAsia="en-GB"/>
        </w:rPr>
        <w:t>TMP11</w:t>
      </w:r>
      <w:r w:rsidRPr="00155F52">
        <w:rPr>
          <w:rFonts w:ascii="Arial" w:eastAsia="Times New Roman" w:hAnsi="Arial" w:cs="Times New Roman"/>
          <w:b/>
          <w:sz w:val="24"/>
          <w:szCs w:val="24"/>
          <w:lang w:eastAsia="en-GB"/>
        </w:rPr>
        <w:t xml:space="preserve"> </w:t>
      </w:r>
      <w:r w:rsidRPr="00155F52">
        <w:rPr>
          <w:rFonts w:ascii="Arial" w:eastAsia="Times New Roman" w:hAnsi="Arial" w:cs="Times New Roman"/>
          <w:b/>
          <w:sz w:val="24"/>
          <w:szCs w:val="24"/>
          <w:lang w:eastAsia="en-GB"/>
        </w:rPr>
        <w:tab/>
        <w:t>Use of external service providers</w:t>
      </w:r>
    </w:p>
    <w:p w14:paraId="3C8A2458" w14:textId="77777777" w:rsidR="00155F52" w:rsidRPr="00155F52" w:rsidRDefault="00155F52" w:rsidP="00155F52">
      <w:pPr>
        <w:spacing w:after="0" w:line="240" w:lineRule="auto"/>
        <w:ind w:left="358" w:right="11"/>
        <w:jc w:val="both"/>
        <w:rPr>
          <w:rFonts w:ascii="Arial" w:eastAsia="Times New Roman" w:hAnsi="Arial" w:cs="Times New Roman"/>
          <w:sz w:val="24"/>
          <w:szCs w:val="24"/>
          <w:lang w:val="en-US" w:eastAsia="en-GB"/>
        </w:rPr>
      </w:pPr>
      <w:r w:rsidRPr="00155F52">
        <w:rPr>
          <w:rFonts w:ascii="Arial" w:eastAsia="Times New Roman" w:hAnsi="Arial" w:cs="Times New Roman"/>
          <w:sz w:val="24"/>
          <w:szCs w:val="24"/>
          <w:lang w:val="en-US" w:eastAsia="en-GB"/>
        </w:rPr>
        <w:t xml:space="preserve">The Authority recognises that responsibility for treasury management decisions always remains with the organisation.  However, it also recognises the potential value of employing external providers of treasury management services, in order to acquire access to specialist skills and resources.  When it employs such service providers, it will ensure it does so for reasons which will have been submitted to full evaluation of the costs and benefits.  It will also ensure that the terms of their appointment and the methods by which their value will be assessed are properly agreed and documented and subjected to regular review.  It will also ensure, where feasible and necessary, that a spread of service providers is used, to avoid over-reliance on one or a small number of companies.  Where services are subject to formal tender or re-tender arrangements, legislative requirements and the Authority’s Contract Procedure Rules will always be observed.  The monitoring of such arrangements, rests with the Chief Finance &amp; Procurement Officer, and details of the current arrangements are set out in the schedule to this document. </w:t>
      </w:r>
    </w:p>
    <w:p w14:paraId="1AA11651" w14:textId="77777777" w:rsidR="00155F52" w:rsidRPr="00155F52" w:rsidRDefault="00155F52" w:rsidP="00155F52">
      <w:pPr>
        <w:spacing w:after="0" w:line="240" w:lineRule="auto"/>
        <w:ind w:right="11"/>
        <w:jc w:val="both"/>
        <w:rPr>
          <w:rFonts w:ascii="Arial" w:eastAsia="Times New Roman" w:hAnsi="Arial" w:cs="Times New Roman"/>
          <w:sz w:val="32"/>
          <w:szCs w:val="32"/>
          <w:lang w:val="en-US" w:eastAsia="en-GB"/>
        </w:rPr>
      </w:pPr>
    </w:p>
    <w:p w14:paraId="30E1ECCE" w14:textId="77777777" w:rsidR="00155F52" w:rsidRPr="00155F52" w:rsidRDefault="00155F52" w:rsidP="00155F52">
      <w:pPr>
        <w:spacing w:after="0" w:line="240" w:lineRule="auto"/>
        <w:ind w:left="360" w:right="9" w:hanging="540"/>
        <w:jc w:val="both"/>
        <w:rPr>
          <w:rFonts w:ascii="Arial" w:eastAsia="Times New Roman" w:hAnsi="Arial" w:cs="Times New Roman"/>
          <w:b/>
          <w:sz w:val="24"/>
          <w:szCs w:val="24"/>
          <w:lang w:eastAsia="en-GB"/>
        </w:rPr>
      </w:pPr>
      <w:r w:rsidRPr="00155F52">
        <w:rPr>
          <w:rFonts w:ascii="Arial" w:eastAsia="Times New Roman" w:hAnsi="Arial" w:cs="Times New Roman"/>
          <w:sz w:val="24"/>
          <w:szCs w:val="24"/>
          <w:lang w:eastAsia="en-GB"/>
        </w:rPr>
        <w:t>12.</w:t>
      </w:r>
      <w:r w:rsidRPr="00155F52">
        <w:rPr>
          <w:rFonts w:ascii="Arial" w:eastAsia="Times New Roman" w:hAnsi="Arial" w:cs="Times New Roman"/>
          <w:sz w:val="24"/>
          <w:szCs w:val="24"/>
          <w:lang w:eastAsia="en-GB"/>
        </w:rPr>
        <w:tab/>
      </w:r>
      <w:r w:rsidRPr="00155F52">
        <w:rPr>
          <w:rFonts w:ascii="Arial" w:eastAsia="Times New Roman" w:hAnsi="Arial" w:cs="Times New Roman"/>
          <w:b/>
          <w:sz w:val="24"/>
          <w:szCs w:val="24"/>
          <w:u w:val="single"/>
          <w:lang w:eastAsia="en-GB"/>
        </w:rPr>
        <w:t>TMP12</w:t>
      </w:r>
      <w:r w:rsidRPr="00155F52">
        <w:rPr>
          <w:rFonts w:ascii="Arial" w:eastAsia="Times New Roman" w:hAnsi="Arial" w:cs="Times New Roman"/>
          <w:b/>
          <w:sz w:val="24"/>
          <w:szCs w:val="24"/>
          <w:lang w:eastAsia="en-GB"/>
        </w:rPr>
        <w:t xml:space="preserve"> </w:t>
      </w:r>
      <w:r w:rsidRPr="00155F52">
        <w:rPr>
          <w:rFonts w:ascii="Arial" w:eastAsia="Times New Roman" w:hAnsi="Arial" w:cs="Times New Roman"/>
          <w:b/>
          <w:sz w:val="24"/>
          <w:szCs w:val="24"/>
          <w:lang w:eastAsia="en-GB"/>
        </w:rPr>
        <w:tab/>
        <w:t xml:space="preserve">Corporate governance  </w:t>
      </w:r>
    </w:p>
    <w:p w14:paraId="66466A55" w14:textId="77777777" w:rsidR="00155F52" w:rsidRPr="00155F52" w:rsidRDefault="00155F52" w:rsidP="00155F52">
      <w:pPr>
        <w:spacing w:after="0" w:line="240" w:lineRule="auto"/>
        <w:ind w:left="358" w:right="11"/>
        <w:jc w:val="both"/>
        <w:rPr>
          <w:rFonts w:ascii="Arial" w:eastAsia="Times New Roman" w:hAnsi="Arial" w:cs="Times New Roman"/>
          <w:sz w:val="24"/>
          <w:szCs w:val="24"/>
          <w:lang w:val="en-US" w:eastAsia="en-GB"/>
        </w:rPr>
      </w:pPr>
      <w:r w:rsidRPr="00155F52">
        <w:rPr>
          <w:rFonts w:ascii="Arial" w:eastAsia="Times New Roman" w:hAnsi="Arial" w:cs="Times New Roman"/>
          <w:sz w:val="24"/>
          <w:szCs w:val="24"/>
          <w:lang w:val="en-US" w:eastAsia="en-GB"/>
        </w:rPr>
        <w:t>The Authority is committed to the pursuit of proper corporate governance throughout its businesses and services, and to establishing the principles and practices by which this can be achieved.  Accordingly, the treasury management function and its activities will be undertaken with openness and transparency, honesty, integrity and accountability.</w:t>
      </w:r>
    </w:p>
    <w:p w14:paraId="366A345E" w14:textId="77777777" w:rsidR="00155F52" w:rsidRPr="00155F52" w:rsidRDefault="00155F52" w:rsidP="00155F52">
      <w:pPr>
        <w:spacing w:after="0" w:line="240" w:lineRule="exact"/>
        <w:ind w:right="9"/>
        <w:jc w:val="both"/>
        <w:rPr>
          <w:rFonts w:ascii="Arial" w:eastAsia="Times New Roman" w:hAnsi="Arial" w:cs="Times New Roman"/>
          <w:sz w:val="24"/>
          <w:szCs w:val="24"/>
          <w:lang w:val="en-US" w:eastAsia="en-GB"/>
        </w:rPr>
      </w:pPr>
    </w:p>
    <w:p w14:paraId="2367CCCC" w14:textId="77777777" w:rsidR="00155F52" w:rsidRPr="00155F52" w:rsidRDefault="00155F52" w:rsidP="00155F52">
      <w:pPr>
        <w:widowControl w:val="0"/>
        <w:autoSpaceDE w:val="0"/>
        <w:autoSpaceDN w:val="0"/>
        <w:spacing w:before="94" w:after="0" w:line="240" w:lineRule="auto"/>
        <w:ind w:left="358" w:right="-71"/>
        <w:jc w:val="both"/>
        <w:rPr>
          <w:rFonts w:ascii="Arial" w:eastAsia="Arial" w:hAnsi="Arial" w:cs="Arial"/>
          <w:b/>
        </w:rPr>
        <w:sectPr w:rsidR="00155F52" w:rsidRPr="00155F52" w:rsidSect="00155F52">
          <w:footerReference w:type="default" r:id="rId12"/>
          <w:pgSz w:w="11910" w:h="16840"/>
          <w:pgMar w:top="1380" w:right="1100" w:bottom="567" w:left="1100" w:header="0" w:footer="918" w:gutter="0"/>
          <w:pgNumType w:start="4"/>
          <w:cols w:space="720"/>
          <w:docGrid w:linePitch="299"/>
        </w:sectPr>
      </w:pPr>
      <w:r w:rsidRPr="00155F52">
        <w:rPr>
          <w:rFonts w:ascii="Arial" w:eastAsia="Times New Roman" w:hAnsi="Arial" w:cs="Times New Roman"/>
          <w:sz w:val="24"/>
          <w:szCs w:val="24"/>
          <w:lang w:eastAsia="en-GB"/>
        </w:rPr>
        <w:t>The Authority has adopted and has implemented the key principles of the Code.  This, together with the other arrangements detailed in the schedule to this document, are considered vital to the achievement of proper corporate governance in treasury management, and the Chief Finance &amp; Procurement Officer will monitor and, if necessary, report upon the effectiveness of these arrangements</w:t>
      </w:r>
    </w:p>
    <w:p w14:paraId="60286EFF" w14:textId="77777777" w:rsidR="00155F52" w:rsidRPr="00155F52" w:rsidRDefault="00155F52" w:rsidP="00155F52">
      <w:pPr>
        <w:widowControl w:val="0"/>
        <w:autoSpaceDE w:val="0"/>
        <w:autoSpaceDN w:val="0"/>
        <w:spacing w:before="94" w:after="0" w:line="240" w:lineRule="auto"/>
        <w:ind w:right="1244"/>
        <w:jc w:val="right"/>
        <w:rPr>
          <w:rFonts w:ascii="Arial" w:eastAsia="Arial" w:hAnsi="Arial" w:cs="Arial"/>
          <w:b/>
          <w:sz w:val="24"/>
          <w:szCs w:val="24"/>
        </w:rPr>
      </w:pPr>
      <w:r w:rsidRPr="00155F52">
        <w:rPr>
          <w:rFonts w:ascii="Arial" w:eastAsia="Arial" w:hAnsi="Arial" w:cs="Arial"/>
          <w:b/>
          <w:sz w:val="24"/>
          <w:szCs w:val="24"/>
        </w:rPr>
        <w:lastRenderedPageBreak/>
        <w:t>Appendix B</w:t>
      </w:r>
    </w:p>
    <w:p w14:paraId="0A371205" w14:textId="77777777" w:rsidR="00155F52" w:rsidRPr="00155F52" w:rsidRDefault="00155F52" w:rsidP="00155F52">
      <w:pPr>
        <w:widowControl w:val="0"/>
        <w:autoSpaceDE w:val="0"/>
        <w:autoSpaceDN w:val="0"/>
        <w:spacing w:before="94" w:after="0" w:line="240" w:lineRule="auto"/>
        <w:ind w:right="1244"/>
        <w:jc w:val="right"/>
        <w:rPr>
          <w:rFonts w:ascii="Arial" w:eastAsia="Arial" w:hAnsi="Arial" w:cs="Arial"/>
          <w:b/>
        </w:rPr>
      </w:pPr>
    </w:p>
    <w:p w14:paraId="7DBAF413" w14:textId="77777777" w:rsidR="00155F52" w:rsidRPr="00155F52" w:rsidRDefault="00155F52" w:rsidP="00155F52">
      <w:pPr>
        <w:widowControl w:val="0"/>
        <w:autoSpaceDE w:val="0"/>
        <w:autoSpaceDN w:val="0"/>
        <w:spacing w:before="1" w:after="0" w:line="240" w:lineRule="auto"/>
        <w:rPr>
          <w:rFonts w:ascii="Arial" w:eastAsia="Arial" w:hAnsi="Arial" w:cs="Arial"/>
          <w:b/>
          <w:sz w:val="19"/>
          <w:szCs w:val="24"/>
        </w:rPr>
      </w:pPr>
    </w:p>
    <w:p w14:paraId="083267D4" w14:textId="77777777" w:rsidR="00155F52" w:rsidRPr="00155F52" w:rsidRDefault="00155F52" w:rsidP="00155F52">
      <w:pPr>
        <w:widowControl w:val="0"/>
        <w:autoSpaceDE w:val="0"/>
        <w:autoSpaceDN w:val="0"/>
        <w:spacing w:after="0" w:line="240" w:lineRule="auto"/>
        <w:jc w:val="center"/>
        <w:rPr>
          <w:rFonts w:ascii="Times New Roman" w:eastAsia="Arial" w:hAnsi="Arial" w:cs="Arial"/>
          <w:sz w:val="20"/>
        </w:rPr>
      </w:pPr>
    </w:p>
    <w:p w14:paraId="10C5EB4A" w14:textId="77777777" w:rsidR="00155F52" w:rsidRPr="00155F52" w:rsidRDefault="00155F52" w:rsidP="00155F52">
      <w:pPr>
        <w:widowControl w:val="0"/>
        <w:autoSpaceDE w:val="0"/>
        <w:autoSpaceDN w:val="0"/>
        <w:spacing w:after="0" w:line="240" w:lineRule="auto"/>
        <w:rPr>
          <w:rFonts w:ascii="Times New Roman" w:eastAsia="Arial" w:hAnsi="Arial" w:cs="Arial"/>
          <w:sz w:val="20"/>
        </w:rPr>
      </w:pPr>
      <w:r w:rsidRPr="00155F52">
        <w:rPr>
          <w:rFonts w:ascii="Arial" w:hAnsi="Arial"/>
          <w:noProof/>
        </w:rPr>
        <w:drawing>
          <wp:inline distT="0" distB="0" distL="0" distR="0" wp14:anchorId="1A16476D" wp14:editId="63BED738">
            <wp:extent cx="6165850" cy="47053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5850" cy="4705350"/>
                    </a:xfrm>
                    <a:prstGeom prst="rect">
                      <a:avLst/>
                    </a:prstGeom>
                    <a:noFill/>
                    <a:ln>
                      <a:noFill/>
                    </a:ln>
                  </pic:spPr>
                </pic:pic>
              </a:graphicData>
            </a:graphic>
          </wp:inline>
        </w:drawing>
      </w:r>
    </w:p>
    <w:p w14:paraId="13E01D00" w14:textId="77777777" w:rsidR="00155F52" w:rsidRPr="00155F52" w:rsidRDefault="00155F52" w:rsidP="00155F52">
      <w:pPr>
        <w:widowControl w:val="0"/>
        <w:autoSpaceDE w:val="0"/>
        <w:autoSpaceDN w:val="0"/>
        <w:spacing w:after="0" w:line="240" w:lineRule="auto"/>
        <w:rPr>
          <w:rFonts w:ascii="Times New Roman" w:eastAsia="Arial" w:hAnsi="Arial" w:cs="Arial"/>
          <w:sz w:val="20"/>
        </w:rPr>
      </w:pPr>
    </w:p>
    <w:p w14:paraId="17C5356F" w14:textId="77777777" w:rsidR="00155F52" w:rsidRPr="00155F52" w:rsidRDefault="00155F52" w:rsidP="00155F52">
      <w:pPr>
        <w:widowControl w:val="0"/>
        <w:autoSpaceDE w:val="0"/>
        <w:autoSpaceDN w:val="0"/>
        <w:spacing w:after="0" w:line="240" w:lineRule="auto"/>
        <w:jc w:val="center"/>
        <w:rPr>
          <w:rFonts w:ascii="Times New Roman" w:eastAsia="Arial" w:hAnsi="Arial" w:cs="Arial"/>
          <w:sz w:val="20"/>
        </w:rPr>
      </w:pPr>
    </w:p>
    <w:p w14:paraId="039FB227" w14:textId="77777777" w:rsidR="00155F52" w:rsidRPr="00155F52" w:rsidRDefault="00155F52" w:rsidP="00155F52">
      <w:pPr>
        <w:widowControl w:val="0"/>
        <w:autoSpaceDE w:val="0"/>
        <w:autoSpaceDN w:val="0"/>
        <w:spacing w:after="0" w:line="240" w:lineRule="auto"/>
        <w:jc w:val="center"/>
        <w:rPr>
          <w:rFonts w:ascii="Times New Roman" w:eastAsia="Arial" w:hAnsi="Arial" w:cs="Arial"/>
          <w:sz w:val="20"/>
        </w:rPr>
      </w:pPr>
    </w:p>
    <w:p w14:paraId="208238F1" w14:textId="77777777" w:rsidR="00155F52" w:rsidRPr="00155F52" w:rsidRDefault="00155F52" w:rsidP="00155F52">
      <w:pPr>
        <w:widowControl w:val="0"/>
        <w:autoSpaceDE w:val="0"/>
        <w:autoSpaceDN w:val="0"/>
        <w:spacing w:after="0" w:line="240" w:lineRule="auto"/>
        <w:jc w:val="center"/>
        <w:rPr>
          <w:rFonts w:ascii="Times New Roman" w:eastAsia="Arial" w:hAnsi="Arial" w:cs="Arial"/>
          <w:sz w:val="20"/>
        </w:rPr>
      </w:pPr>
    </w:p>
    <w:p w14:paraId="3ECF46EC" w14:textId="77777777" w:rsidR="00155F52" w:rsidRPr="00155F52" w:rsidRDefault="00155F52" w:rsidP="00155F52">
      <w:pPr>
        <w:widowControl w:val="0"/>
        <w:autoSpaceDE w:val="0"/>
        <w:autoSpaceDN w:val="0"/>
        <w:spacing w:after="0" w:line="240" w:lineRule="auto"/>
        <w:jc w:val="center"/>
        <w:rPr>
          <w:rFonts w:ascii="Times New Roman" w:eastAsia="Arial" w:hAnsi="Arial" w:cs="Arial"/>
          <w:sz w:val="20"/>
        </w:rPr>
        <w:sectPr w:rsidR="00155F52" w:rsidRPr="00155F52" w:rsidSect="00F260AD">
          <w:pgSz w:w="11910" w:h="16840" w:code="9"/>
          <w:pgMar w:top="1380" w:right="1100" w:bottom="567" w:left="1100" w:header="0" w:footer="918" w:gutter="0"/>
          <w:pgNumType w:start="4"/>
          <w:cols w:space="720"/>
          <w:docGrid w:linePitch="299"/>
        </w:sectPr>
      </w:pPr>
      <w:r w:rsidRPr="00155F52">
        <w:rPr>
          <w:rFonts w:ascii="Arial" w:hAnsi="Arial"/>
          <w:noProof/>
        </w:rPr>
        <w:drawing>
          <wp:inline distT="0" distB="0" distL="0" distR="0" wp14:anchorId="2B536925" wp14:editId="39F57633">
            <wp:extent cx="6165850" cy="22669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5850" cy="2266950"/>
                    </a:xfrm>
                    <a:prstGeom prst="rect">
                      <a:avLst/>
                    </a:prstGeom>
                    <a:noFill/>
                    <a:ln>
                      <a:noFill/>
                    </a:ln>
                  </pic:spPr>
                </pic:pic>
              </a:graphicData>
            </a:graphic>
          </wp:inline>
        </w:drawing>
      </w:r>
    </w:p>
    <w:p w14:paraId="30E0AF9D" w14:textId="77777777" w:rsidR="00155F52" w:rsidRPr="00155F52" w:rsidRDefault="00155F52" w:rsidP="00155F52">
      <w:pPr>
        <w:widowControl w:val="0"/>
        <w:autoSpaceDE w:val="0"/>
        <w:autoSpaceDN w:val="0"/>
        <w:spacing w:after="0" w:line="240" w:lineRule="auto"/>
        <w:rPr>
          <w:rFonts w:ascii="Arial" w:eastAsia="Arial" w:hAnsi="Arial" w:cs="Arial"/>
          <w:b/>
          <w:sz w:val="20"/>
          <w:szCs w:val="24"/>
        </w:rPr>
      </w:pPr>
    </w:p>
    <w:p w14:paraId="36BDF8BF" w14:textId="77777777" w:rsidR="00155F52" w:rsidRPr="00155F52" w:rsidRDefault="00155F52" w:rsidP="00155F52">
      <w:pPr>
        <w:widowControl w:val="0"/>
        <w:autoSpaceDE w:val="0"/>
        <w:autoSpaceDN w:val="0"/>
        <w:spacing w:before="1" w:after="0" w:line="240" w:lineRule="auto"/>
        <w:rPr>
          <w:rFonts w:ascii="Arial" w:eastAsia="Arial" w:hAnsi="Arial" w:cs="Arial"/>
          <w:b/>
          <w:sz w:val="19"/>
          <w:szCs w:val="24"/>
        </w:rPr>
      </w:pPr>
    </w:p>
    <w:p w14:paraId="30FC81A4" w14:textId="77777777" w:rsidR="00155F52" w:rsidRPr="00155F52" w:rsidRDefault="00155F52" w:rsidP="00155F52">
      <w:pPr>
        <w:widowControl w:val="0"/>
        <w:numPr>
          <w:ilvl w:val="0"/>
          <w:numId w:val="14"/>
        </w:numPr>
        <w:tabs>
          <w:tab w:val="left" w:pos="515"/>
        </w:tabs>
        <w:autoSpaceDE w:val="0"/>
        <w:autoSpaceDN w:val="0"/>
        <w:spacing w:after="0" w:line="240" w:lineRule="auto"/>
        <w:ind w:hanging="412"/>
        <w:rPr>
          <w:rFonts w:ascii="Arial" w:eastAsia="Arial" w:hAnsi="Arial" w:cs="Arial"/>
          <w:sz w:val="24"/>
          <w:szCs w:val="24"/>
        </w:rPr>
      </w:pPr>
      <w:r w:rsidRPr="00155F52">
        <w:rPr>
          <w:rFonts w:ascii="Arial" w:eastAsia="Arial" w:hAnsi="Arial" w:cs="Arial"/>
          <w:sz w:val="24"/>
          <w:szCs w:val="24"/>
        </w:rPr>
        <w:t>The</w:t>
      </w:r>
      <w:r w:rsidRPr="00155F52">
        <w:rPr>
          <w:rFonts w:ascii="Arial" w:eastAsia="Arial" w:hAnsi="Arial" w:cs="Arial"/>
          <w:spacing w:val="-4"/>
          <w:sz w:val="24"/>
          <w:szCs w:val="24"/>
        </w:rPr>
        <w:t xml:space="preserve"> </w:t>
      </w:r>
      <w:r w:rsidRPr="00155F52">
        <w:rPr>
          <w:rFonts w:ascii="Arial" w:eastAsia="Arial" w:hAnsi="Arial" w:cs="Arial"/>
          <w:sz w:val="24"/>
          <w:szCs w:val="24"/>
        </w:rPr>
        <w:t>investment</w:t>
      </w:r>
      <w:r w:rsidRPr="00155F52">
        <w:rPr>
          <w:rFonts w:ascii="Arial" w:eastAsia="Arial" w:hAnsi="Arial" w:cs="Arial"/>
          <w:spacing w:val="-4"/>
          <w:sz w:val="24"/>
          <w:szCs w:val="24"/>
        </w:rPr>
        <w:t xml:space="preserve"> </w:t>
      </w:r>
      <w:r w:rsidRPr="00155F52">
        <w:rPr>
          <w:rFonts w:ascii="Arial" w:eastAsia="Arial" w:hAnsi="Arial" w:cs="Arial"/>
          <w:sz w:val="24"/>
          <w:szCs w:val="24"/>
        </w:rPr>
        <w:t>period</w:t>
      </w:r>
      <w:r w:rsidRPr="00155F52">
        <w:rPr>
          <w:rFonts w:ascii="Arial" w:eastAsia="Arial" w:hAnsi="Arial" w:cs="Arial"/>
          <w:spacing w:val="-1"/>
          <w:sz w:val="24"/>
          <w:szCs w:val="24"/>
        </w:rPr>
        <w:t xml:space="preserve"> </w:t>
      </w:r>
      <w:r w:rsidRPr="00155F52">
        <w:rPr>
          <w:rFonts w:ascii="Arial" w:eastAsia="Arial" w:hAnsi="Arial" w:cs="Arial"/>
          <w:sz w:val="24"/>
          <w:szCs w:val="24"/>
        </w:rPr>
        <w:t>begins</w:t>
      </w:r>
      <w:r w:rsidRPr="00155F52">
        <w:rPr>
          <w:rFonts w:ascii="Arial" w:eastAsia="Arial" w:hAnsi="Arial" w:cs="Arial"/>
          <w:spacing w:val="-3"/>
          <w:sz w:val="24"/>
          <w:szCs w:val="24"/>
        </w:rPr>
        <w:t xml:space="preserve"> </w:t>
      </w:r>
      <w:r w:rsidRPr="00155F52">
        <w:rPr>
          <w:rFonts w:ascii="Arial" w:eastAsia="Arial" w:hAnsi="Arial" w:cs="Arial"/>
          <w:sz w:val="24"/>
          <w:szCs w:val="24"/>
        </w:rPr>
        <w:t>from</w:t>
      </w:r>
      <w:r w:rsidRPr="00155F52">
        <w:rPr>
          <w:rFonts w:ascii="Arial" w:eastAsia="Arial" w:hAnsi="Arial" w:cs="Arial"/>
          <w:spacing w:val="1"/>
          <w:sz w:val="24"/>
          <w:szCs w:val="24"/>
        </w:rPr>
        <w:t xml:space="preserve"> </w:t>
      </w:r>
      <w:r w:rsidRPr="00155F52">
        <w:rPr>
          <w:rFonts w:ascii="Arial" w:eastAsia="Arial" w:hAnsi="Arial" w:cs="Arial"/>
          <w:sz w:val="24"/>
          <w:szCs w:val="24"/>
        </w:rPr>
        <w:t>the</w:t>
      </w:r>
      <w:r w:rsidRPr="00155F52">
        <w:rPr>
          <w:rFonts w:ascii="Arial" w:eastAsia="Arial" w:hAnsi="Arial" w:cs="Arial"/>
          <w:spacing w:val="-4"/>
          <w:sz w:val="24"/>
          <w:szCs w:val="24"/>
        </w:rPr>
        <w:t xml:space="preserve"> </w:t>
      </w:r>
      <w:r w:rsidRPr="00155F52">
        <w:rPr>
          <w:rFonts w:ascii="Arial" w:eastAsia="Arial" w:hAnsi="Arial" w:cs="Arial"/>
          <w:sz w:val="24"/>
          <w:szCs w:val="24"/>
        </w:rPr>
        <w:t>date</w:t>
      </w:r>
      <w:r w:rsidRPr="00155F52">
        <w:rPr>
          <w:rFonts w:ascii="Arial" w:eastAsia="Arial" w:hAnsi="Arial" w:cs="Arial"/>
          <w:spacing w:val="-3"/>
          <w:sz w:val="24"/>
          <w:szCs w:val="24"/>
        </w:rPr>
        <w:t xml:space="preserve"> </w:t>
      </w:r>
      <w:r w:rsidRPr="00155F52">
        <w:rPr>
          <w:rFonts w:ascii="Arial" w:eastAsia="Arial" w:hAnsi="Arial" w:cs="Arial"/>
          <w:sz w:val="24"/>
          <w:szCs w:val="24"/>
        </w:rPr>
        <w:t>on</w:t>
      </w:r>
      <w:r w:rsidRPr="00155F52">
        <w:rPr>
          <w:rFonts w:ascii="Arial" w:eastAsia="Arial" w:hAnsi="Arial" w:cs="Arial"/>
          <w:spacing w:val="-2"/>
          <w:sz w:val="24"/>
          <w:szCs w:val="24"/>
        </w:rPr>
        <w:t xml:space="preserve"> </w:t>
      </w:r>
      <w:r w:rsidRPr="00155F52">
        <w:rPr>
          <w:rFonts w:ascii="Arial" w:eastAsia="Arial" w:hAnsi="Arial" w:cs="Arial"/>
          <w:sz w:val="24"/>
          <w:szCs w:val="24"/>
        </w:rPr>
        <w:t>which</w:t>
      </w:r>
      <w:r w:rsidRPr="00155F52">
        <w:rPr>
          <w:rFonts w:ascii="Arial" w:eastAsia="Arial" w:hAnsi="Arial" w:cs="Arial"/>
          <w:spacing w:val="-4"/>
          <w:sz w:val="24"/>
          <w:szCs w:val="24"/>
        </w:rPr>
        <w:t xml:space="preserve"> </w:t>
      </w:r>
      <w:r w:rsidRPr="00155F52">
        <w:rPr>
          <w:rFonts w:ascii="Arial" w:eastAsia="Arial" w:hAnsi="Arial" w:cs="Arial"/>
          <w:sz w:val="24"/>
          <w:szCs w:val="24"/>
        </w:rPr>
        <w:t>funds</w:t>
      </w:r>
      <w:r w:rsidRPr="00155F52">
        <w:rPr>
          <w:rFonts w:ascii="Arial" w:eastAsia="Arial" w:hAnsi="Arial" w:cs="Arial"/>
          <w:spacing w:val="-2"/>
          <w:sz w:val="24"/>
          <w:szCs w:val="24"/>
        </w:rPr>
        <w:t xml:space="preserve"> </w:t>
      </w:r>
      <w:r w:rsidRPr="00155F52">
        <w:rPr>
          <w:rFonts w:ascii="Arial" w:eastAsia="Arial" w:hAnsi="Arial" w:cs="Arial"/>
          <w:sz w:val="24"/>
          <w:szCs w:val="24"/>
        </w:rPr>
        <w:t>are</w:t>
      </w:r>
      <w:r w:rsidRPr="00155F52">
        <w:rPr>
          <w:rFonts w:ascii="Arial" w:eastAsia="Arial" w:hAnsi="Arial" w:cs="Arial"/>
          <w:spacing w:val="-2"/>
          <w:sz w:val="24"/>
          <w:szCs w:val="24"/>
        </w:rPr>
        <w:t xml:space="preserve"> </w:t>
      </w:r>
      <w:r w:rsidRPr="00155F52">
        <w:rPr>
          <w:rFonts w:ascii="Arial" w:eastAsia="Arial" w:hAnsi="Arial" w:cs="Arial"/>
          <w:sz w:val="24"/>
          <w:szCs w:val="24"/>
        </w:rPr>
        <w:t>paid</w:t>
      </w:r>
      <w:r w:rsidRPr="00155F52">
        <w:rPr>
          <w:rFonts w:ascii="Arial" w:eastAsia="Arial" w:hAnsi="Arial" w:cs="Arial"/>
          <w:spacing w:val="-4"/>
          <w:sz w:val="24"/>
          <w:szCs w:val="24"/>
        </w:rPr>
        <w:t xml:space="preserve"> </w:t>
      </w:r>
      <w:r w:rsidRPr="00155F52">
        <w:rPr>
          <w:rFonts w:ascii="Arial" w:eastAsia="Arial" w:hAnsi="Arial" w:cs="Arial"/>
          <w:sz w:val="24"/>
          <w:szCs w:val="24"/>
        </w:rPr>
        <w:t>over.</w:t>
      </w:r>
    </w:p>
    <w:p w14:paraId="62064AA4" w14:textId="77777777" w:rsidR="00155F52" w:rsidRPr="00155F52" w:rsidRDefault="00155F52" w:rsidP="00155F52">
      <w:pPr>
        <w:widowControl w:val="0"/>
        <w:autoSpaceDE w:val="0"/>
        <w:autoSpaceDN w:val="0"/>
        <w:spacing w:before="3" w:after="0" w:line="240" w:lineRule="auto"/>
        <w:rPr>
          <w:rFonts w:ascii="Arial" w:eastAsia="Arial" w:hAnsi="Arial" w:cs="Arial"/>
          <w:sz w:val="24"/>
          <w:szCs w:val="24"/>
        </w:rPr>
      </w:pPr>
    </w:p>
    <w:p w14:paraId="266A5C28" w14:textId="77777777" w:rsidR="00155F52" w:rsidRPr="00155F52" w:rsidRDefault="00155F52" w:rsidP="00155F52">
      <w:pPr>
        <w:widowControl w:val="0"/>
        <w:numPr>
          <w:ilvl w:val="0"/>
          <w:numId w:val="14"/>
        </w:numPr>
        <w:tabs>
          <w:tab w:val="left" w:pos="515"/>
        </w:tabs>
        <w:autoSpaceDE w:val="0"/>
        <w:autoSpaceDN w:val="0"/>
        <w:spacing w:after="0" w:line="240" w:lineRule="auto"/>
        <w:ind w:right="252"/>
        <w:rPr>
          <w:rFonts w:ascii="Arial" w:eastAsia="Arial" w:hAnsi="Arial" w:cs="Arial"/>
          <w:sz w:val="24"/>
          <w:szCs w:val="24"/>
        </w:rPr>
      </w:pPr>
      <w:r w:rsidRPr="00155F52">
        <w:rPr>
          <w:rFonts w:ascii="Arial" w:eastAsia="Arial" w:hAnsi="Arial" w:cs="Arial"/>
          <w:sz w:val="24"/>
          <w:szCs w:val="24"/>
        </w:rPr>
        <w:t>These investments are secured on the bank’s assets, which limits the potential losses in the unlikely event of insolvency and means that they are exempt from</w:t>
      </w:r>
      <w:r w:rsidRPr="00155F52">
        <w:rPr>
          <w:rFonts w:ascii="Arial" w:eastAsia="Arial" w:hAnsi="Arial" w:cs="Arial"/>
          <w:spacing w:val="1"/>
          <w:sz w:val="24"/>
          <w:szCs w:val="24"/>
        </w:rPr>
        <w:t xml:space="preserve"> </w:t>
      </w:r>
      <w:r w:rsidRPr="00155F52">
        <w:rPr>
          <w:rFonts w:ascii="Arial" w:eastAsia="Arial" w:hAnsi="Arial" w:cs="Arial"/>
          <w:sz w:val="24"/>
          <w:szCs w:val="24"/>
        </w:rPr>
        <w:t>bail-in.</w:t>
      </w:r>
      <w:r w:rsidRPr="00155F52">
        <w:rPr>
          <w:rFonts w:ascii="Arial" w:eastAsia="Arial" w:hAnsi="Arial" w:cs="Arial"/>
          <w:spacing w:val="-9"/>
          <w:sz w:val="24"/>
          <w:szCs w:val="24"/>
        </w:rPr>
        <w:t xml:space="preserve"> </w:t>
      </w:r>
      <w:r w:rsidRPr="00155F52">
        <w:rPr>
          <w:rFonts w:ascii="Arial" w:eastAsia="Arial" w:hAnsi="Arial" w:cs="Arial"/>
          <w:sz w:val="24"/>
          <w:szCs w:val="24"/>
        </w:rPr>
        <w:t>Where</w:t>
      </w:r>
      <w:r w:rsidRPr="00155F52">
        <w:rPr>
          <w:rFonts w:ascii="Arial" w:eastAsia="Arial" w:hAnsi="Arial" w:cs="Arial"/>
          <w:spacing w:val="-4"/>
          <w:sz w:val="24"/>
          <w:szCs w:val="24"/>
        </w:rPr>
        <w:t xml:space="preserve"> </w:t>
      </w:r>
      <w:r w:rsidRPr="00155F52">
        <w:rPr>
          <w:rFonts w:ascii="Arial" w:eastAsia="Arial" w:hAnsi="Arial" w:cs="Arial"/>
          <w:sz w:val="24"/>
          <w:szCs w:val="24"/>
        </w:rPr>
        <w:t>there</w:t>
      </w:r>
      <w:r w:rsidRPr="00155F52">
        <w:rPr>
          <w:rFonts w:ascii="Arial" w:eastAsia="Arial" w:hAnsi="Arial" w:cs="Arial"/>
          <w:spacing w:val="-3"/>
          <w:sz w:val="24"/>
          <w:szCs w:val="24"/>
        </w:rPr>
        <w:t xml:space="preserve"> </w:t>
      </w:r>
      <w:r w:rsidRPr="00155F52">
        <w:rPr>
          <w:rFonts w:ascii="Arial" w:eastAsia="Arial" w:hAnsi="Arial" w:cs="Arial"/>
          <w:sz w:val="24"/>
          <w:szCs w:val="24"/>
        </w:rPr>
        <w:t>is</w:t>
      </w:r>
      <w:r w:rsidRPr="00155F52">
        <w:rPr>
          <w:rFonts w:ascii="Arial" w:eastAsia="Arial" w:hAnsi="Arial" w:cs="Arial"/>
          <w:spacing w:val="-3"/>
          <w:sz w:val="24"/>
          <w:szCs w:val="24"/>
        </w:rPr>
        <w:t xml:space="preserve"> </w:t>
      </w:r>
      <w:r w:rsidRPr="00155F52">
        <w:rPr>
          <w:rFonts w:ascii="Arial" w:eastAsia="Arial" w:hAnsi="Arial" w:cs="Arial"/>
          <w:sz w:val="24"/>
          <w:szCs w:val="24"/>
        </w:rPr>
        <w:t>no</w:t>
      </w:r>
      <w:r w:rsidRPr="00155F52">
        <w:rPr>
          <w:rFonts w:ascii="Arial" w:eastAsia="Arial" w:hAnsi="Arial" w:cs="Arial"/>
          <w:spacing w:val="-2"/>
          <w:sz w:val="24"/>
          <w:szCs w:val="24"/>
        </w:rPr>
        <w:t xml:space="preserve"> </w:t>
      </w:r>
      <w:r w:rsidRPr="00155F52">
        <w:rPr>
          <w:rFonts w:ascii="Arial" w:eastAsia="Arial" w:hAnsi="Arial" w:cs="Arial"/>
          <w:sz w:val="24"/>
          <w:szCs w:val="24"/>
        </w:rPr>
        <w:t>investment</w:t>
      </w:r>
      <w:r w:rsidRPr="00155F52">
        <w:rPr>
          <w:rFonts w:ascii="Arial" w:eastAsia="Arial" w:hAnsi="Arial" w:cs="Arial"/>
          <w:spacing w:val="-3"/>
          <w:sz w:val="24"/>
          <w:szCs w:val="24"/>
        </w:rPr>
        <w:t xml:space="preserve"> </w:t>
      </w:r>
      <w:r w:rsidRPr="00155F52">
        <w:rPr>
          <w:rFonts w:ascii="Arial" w:eastAsia="Arial" w:hAnsi="Arial" w:cs="Arial"/>
          <w:sz w:val="24"/>
          <w:szCs w:val="24"/>
        </w:rPr>
        <w:t>specific</w:t>
      </w:r>
      <w:r w:rsidRPr="00155F52">
        <w:rPr>
          <w:rFonts w:ascii="Arial" w:eastAsia="Arial" w:hAnsi="Arial" w:cs="Arial"/>
          <w:spacing w:val="-3"/>
          <w:sz w:val="24"/>
          <w:szCs w:val="24"/>
        </w:rPr>
        <w:t xml:space="preserve"> </w:t>
      </w:r>
      <w:r w:rsidRPr="00155F52">
        <w:rPr>
          <w:rFonts w:ascii="Arial" w:eastAsia="Arial" w:hAnsi="Arial" w:cs="Arial"/>
          <w:sz w:val="24"/>
          <w:szCs w:val="24"/>
        </w:rPr>
        <w:t>credit</w:t>
      </w:r>
      <w:r w:rsidRPr="00155F52">
        <w:rPr>
          <w:rFonts w:ascii="Arial" w:eastAsia="Arial" w:hAnsi="Arial" w:cs="Arial"/>
          <w:spacing w:val="-4"/>
          <w:sz w:val="24"/>
          <w:szCs w:val="24"/>
        </w:rPr>
        <w:t xml:space="preserve"> </w:t>
      </w:r>
      <w:r w:rsidRPr="00155F52">
        <w:rPr>
          <w:rFonts w:ascii="Arial" w:eastAsia="Arial" w:hAnsi="Arial" w:cs="Arial"/>
          <w:sz w:val="24"/>
          <w:szCs w:val="24"/>
        </w:rPr>
        <w:t>rating</w:t>
      </w:r>
      <w:r w:rsidRPr="00155F52">
        <w:rPr>
          <w:rFonts w:ascii="Arial" w:eastAsia="Arial" w:hAnsi="Arial" w:cs="Arial"/>
          <w:spacing w:val="-3"/>
          <w:sz w:val="24"/>
          <w:szCs w:val="24"/>
        </w:rPr>
        <w:t xml:space="preserve"> </w:t>
      </w:r>
      <w:r w:rsidRPr="00155F52">
        <w:rPr>
          <w:rFonts w:ascii="Arial" w:eastAsia="Arial" w:hAnsi="Arial" w:cs="Arial"/>
          <w:sz w:val="24"/>
          <w:szCs w:val="24"/>
        </w:rPr>
        <w:t>but</w:t>
      </w:r>
      <w:r w:rsidRPr="00155F52">
        <w:rPr>
          <w:rFonts w:ascii="Arial" w:eastAsia="Arial" w:hAnsi="Arial" w:cs="Arial"/>
          <w:spacing w:val="-4"/>
          <w:sz w:val="24"/>
          <w:szCs w:val="24"/>
        </w:rPr>
        <w:t xml:space="preserve"> </w:t>
      </w:r>
      <w:r w:rsidRPr="00155F52">
        <w:rPr>
          <w:rFonts w:ascii="Arial" w:eastAsia="Arial" w:hAnsi="Arial" w:cs="Arial"/>
          <w:sz w:val="24"/>
          <w:szCs w:val="24"/>
        </w:rPr>
        <w:t>the</w:t>
      </w:r>
      <w:r w:rsidRPr="00155F52">
        <w:rPr>
          <w:rFonts w:ascii="Arial" w:eastAsia="Arial" w:hAnsi="Arial" w:cs="Arial"/>
          <w:spacing w:val="-4"/>
          <w:sz w:val="24"/>
          <w:szCs w:val="24"/>
        </w:rPr>
        <w:t xml:space="preserve"> </w:t>
      </w:r>
      <w:r w:rsidRPr="00155F52">
        <w:rPr>
          <w:rFonts w:ascii="Arial" w:eastAsia="Arial" w:hAnsi="Arial" w:cs="Arial"/>
          <w:sz w:val="24"/>
          <w:szCs w:val="24"/>
        </w:rPr>
        <w:t>collateral</w:t>
      </w:r>
      <w:r w:rsidRPr="00155F52">
        <w:rPr>
          <w:rFonts w:ascii="Arial" w:eastAsia="Arial" w:hAnsi="Arial" w:cs="Arial"/>
          <w:spacing w:val="-2"/>
          <w:sz w:val="24"/>
          <w:szCs w:val="24"/>
        </w:rPr>
        <w:t xml:space="preserve"> </w:t>
      </w:r>
      <w:r w:rsidRPr="00155F52">
        <w:rPr>
          <w:rFonts w:ascii="Arial" w:eastAsia="Arial" w:hAnsi="Arial" w:cs="Arial"/>
          <w:sz w:val="24"/>
          <w:szCs w:val="24"/>
        </w:rPr>
        <w:t>upon</w:t>
      </w:r>
      <w:r w:rsidRPr="00155F52">
        <w:rPr>
          <w:rFonts w:ascii="Arial" w:eastAsia="Arial" w:hAnsi="Arial" w:cs="Arial"/>
          <w:spacing w:val="-2"/>
          <w:sz w:val="24"/>
          <w:szCs w:val="24"/>
        </w:rPr>
        <w:t xml:space="preserve"> </w:t>
      </w:r>
      <w:r w:rsidRPr="00155F52">
        <w:rPr>
          <w:rFonts w:ascii="Arial" w:eastAsia="Arial" w:hAnsi="Arial" w:cs="Arial"/>
          <w:sz w:val="24"/>
          <w:szCs w:val="24"/>
        </w:rPr>
        <w:t>which</w:t>
      </w:r>
      <w:r w:rsidRPr="00155F52">
        <w:rPr>
          <w:rFonts w:ascii="Arial" w:eastAsia="Arial" w:hAnsi="Arial" w:cs="Arial"/>
          <w:spacing w:val="-4"/>
          <w:sz w:val="24"/>
          <w:szCs w:val="24"/>
        </w:rPr>
        <w:t xml:space="preserve"> </w:t>
      </w:r>
      <w:r w:rsidRPr="00155F52">
        <w:rPr>
          <w:rFonts w:ascii="Arial" w:eastAsia="Arial" w:hAnsi="Arial" w:cs="Arial"/>
          <w:sz w:val="24"/>
          <w:szCs w:val="24"/>
        </w:rPr>
        <w:t>the</w:t>
      </w:r>
      <w:r w:rsidRPr="00155F52">
        <w:rPr>
          <w:rFonts w:ascii="Arial" w:eastAsia="Arial" w:hAnsi="Arial" w:cs="Arial"/>
          <w:spacing w:val="-1"/>
          <w:sz w:val="24"/>
          <w:szCs w:val="24"/>
        </w:rPr>
        <w:t xml:space="preserve"> </w:t>
      </w:r>
      <w:r w:rsidRPr="00155F52">
        <w:rPr>
          <w:rFonts w:ascii="Arial" w:eastAsia="Arial" w:hAnsi="Arial" w:cs="Arial"/>
          <w:sz w:val="24"/>
          <w:szCs w:val="24"/>
        </w:rPr>
        <w:t>investment</w:t>
      </w:r>
      <w:r w:rsidRPr="00155F52">
        <w:rPr>
          <w:rFonts w:ascii="Arial" w:eastAsia="Arial" w:hAnsi="Arial" w:cs="Arial"/>
          <w:spacing w:val="-4"/>
          <w:sz w:val="24"/>
          <w:szCs w:val="24"/>
        </w:rPr>
        <w:t xml:space="preserve"> </w:t>
      </w:r>
      <w:r w:rsidRPr="00155F52">
        <w:rPr>
          <w:rFonts w:ascii="Arial" w:eastAsia="Arial" w:hAnsi="Arial" w:cs="Arial"/>
          <w:sz w:val="24"/>
          <w:szCs w:val="24"/>
        </w:rPr>
        <w:t>is</w:t>
      </w:r>
      <w:r w:rsidRPr="00155F52">
        <w:rPr>
          <w:rFonts w:ascii="Arial" w:eastAsia="Arial" w:hAnsi="Arial" w:cs="Arial"/>
          <w:spacing w:val="-3"/>
          <w:sz w:val="24"/>
          <w:szCs w:val="24"/>
        </w:rPr>
        <w:t xml:space="preserve"> </w:t>
      </w:r>
      <w:r w:rsidRPr="00155F52">
        <w:rPr>
          <w:rFonts w:ascii="Arial" w:eastAsia="Arial" w:hAnsi="Arial" w:cs="Arial"/>
          <w:sz w:val="24"/>
          <w:szCs w:val="24"/>
        </w:rPr>
        <w:t>secured</w:t>
      </w:r>
      <w:r w:rsidRPr="00155F52">
        <w:rPr>
          <w:rFonts w:ascii="Arial" w:eastAsia="Arial" w:hAnsi="Arial" w:cs="Arial"/>
          <w:spacing w:val="-3"/>
          <w:sz w:val="24"/>
          <w:szCs w:val="24"/>
        </w:rPr>
        <w:t xml:space="preserve"> </w:t>
      </w:r>
      <w:r w:rsidRPr="00155F52">
        <w:rPr>
          <w:rFonts w:ascii="Arial" w:eastAsia="Arial" w:hAnsi="Arial" w:cs="Arial"/>
          <w:sz w:val="24"/>
          <w:szCs w:val="24"/>
        </w:rPr>
        <w:t>has</w:t>
      </w:r>
      <w:r w:rsidRPr="00155F52">
        <w:rPr>
          <w:rFonts w:ascii="Arial" w:eastAsia="Arial" w:hAnsi="Arial" w:cs="Arial"/>
          <w:spacing w:val="-3"/>
          <w:sz w:val="24"/>
          <w:szCs w:val="24"/>
        </w:rPr>
        <w:t xml:space="preserve"> </w:t>
      </w:r>
      <w:r w:rsidRPr="00155F52">
        <w:rPr>
          <w:rFonts w:ascii="Arial" w:eastAsia="Arial" w:hAnsi="Arial" w:cs="Arial"/>
          <w:sz w:val="24"/>
          <w:szCs w:val="24"/>
        </w:rPr>
        <w:t>a</w:t>
      </w:r>
      <w:r w:rsidRPr="00155F52">
        <w:rPr>
          <w:rFonts w:ascii="Arial" w:eastAsia="Arial" w:hAnsi="Arial" w:cs="Arial"/>
          <w:spacing w:val="-2"/>
          <w:sz w:val="24"/>
          <w:szCs w:val="24"/>
        </w:rPr>
        <w:t xml:space="preserve"> </w:t>
      </w:r>
      <w:r w:rsidRPr="00155F52">
        <w:rPr>
          <w:rFonts w:ascii="Arial" w:eastAsia="Arial" w:hAnsi="Arial" w:cs="Arial"/>
          <w:sz w:val="24"/>
          <w:szCs w:val="24"/>
        </w:rPr>
        <w:t>credit</w:t>
      </w:r>
      <w:r w:rsidRPr="00155F52">
        <w:rPr>
          <w:rFonts w:ascii="Arial" w:eastAsia="Arial" w:hAnsi="Arial" w:cs="Arial"/>
          <w:spacing w:val="-2"/>
          <w:sz w:val="24"/>
          <w:szCs w:val="24"/>
        </w:rPr>
        <w:t xml:space="preserve"> </w:t>
      </w:r>
      <w:r w:rsidRPr="00155F52">
        <w:rPr>
          <w:rFonts w:ascii="Arial" w:eastAsia="Arial" w:hAnsi="Arial" w:cs="Arial"/>
          <w:sz w:val="24"/>
          <w:szCs w:val="24"/>
        </w:rPr>
        <w:t>rating,</w:t>
      </w:r>
      <w:r w:rsidRPr="00155F52">
        <w:rPr>
          <w:rFonts w:ascii="Arial" w:eastAsia="Arial" w:hAnsi="Arial" w:cs="Arial"/>
          <w:spacing w:val="-1"/>
          <w:sz w:val="24"/>
          <w:szCs w:val="24"/>
        </w:rPr>
        <w:t xml:space="preserve"> </w:t>
      </w:r>
      <w:r w:rsidRPr="00155F52">
        <w:rPr>
          <w:rFonts w:ascii="Arial" w:eastAsia="Arial" w:hAnsi="Arial" w:cs="Arial"/>
          <w:sz w:val="24"/>
          <w:szCs w:val="24"/>
        </w:rPr>
        <w:t>the</w:t>
      </w:r>
      <w:r w:rsidRPr="00155F52">
        <w:rPr>
          <w:rFonts w:ascii="Arial" w:eastAsia="Arial" w:hAnsi="Arial" w:cs="Arial"/>
          <w:spacing w:val="-2"/>
          <w:sz w:val="24"/>
          <w:szCs w:val="24"/>
        </w:rPr>
        <w:t xml:space="preserve"> </w:t>
      </w:r>
      <w:r w:rsidRPr="00155F52">
        <w:rPr>
          <w:rFonts w:ascii="Arial" w:eastAsia="Arial" w:hAnsi="Arial" w:cs="Arial"/>
          <w:sz w:val="24"/>
          <w:szCs w:val="24"/>
        </w:rPr>
        <w:t>higher</w:t>
      </w:r>
      <w:r w:rsidRPr="00155F52">
        <w:rPr>
          <w:rFonts w:ascii="Arial" w:eastAsia="Arial" w:hAnsi="Arial" w:cs="Arial"/>
          <w:spacing w:val="-3"/>
          <w:sz w:val="24"/>
          <w:szCs w:val="24"/>
        </w:rPr>
        <w:t xml:space="preserve"> </w:t>
      </w:r>
      <w:r w:rsidRPr="00155F52">
        <w:rPr>
          <w:rFonts w:ascii="Arial" w:eastAsia="Arial" w:hAnsi="Arial" w:cs="Arial"/>
          <w:sz w:val="24"/>
          <w:szCs w:val="24"/>
        </w:rPr>
        <w:t>of</w:t>
      </w:r>
      <w:r w:rsidRPr="00155F52">
        <w:rPr>
          <w:rFonts w:ascii="Arial" w:eastAsia="Arial" w:hAnsi="Arial" w:cs="Arial"/>
          <w:spacing w:val="-1"/>
          <w:sz w:val="24"/>
          <w:szCs w:val="24"/>
        </w:rPr>
        <w:t xml:space="preserve"> </w:t>
      </w:r>
      <w:r w:rsidRPr="00155F52">
        <w:rPr>
          <w:rFonts w:ascii="Arial" w:eastAsia="Arial" w:hAnsi="Arial" w:cs="Arial"/>
          <w:sz w:val="24"/>
          <w:szCs w:val="24"/>
        </w:rPr>
        <w:t>the</w:t>
      </w:r>
      <w:r w:rsidRPr="00155F52">
        <w:rPr>
          <w:rFonts w:ascii="Arial" w:eastAsia="Arial" w:hAnsi="Arial" w:cs="Arial"/>
          <w:spacing w:val="-4"/>
          <w:sz w:val="24"/>
          <w:szCs w:val="24"/>
        </w:rPr>
        <w:t xml:space="preserve"> </w:t>
      </w:r>
      <w:r w:rsidRPr="00155F52">
        <w:rPr>
          <w:rFonts w:ascii="Arial" w:eastAsia="Arial" w:hAnsi="Arial" w:cs="Arial"/>
          <w:sz w:val="24"/>
          <w:szCs w:val="24"/>
        </w:rPr>
        <w:t>collateral</w:t>
      </w:r>
      <w:r w:rsidRPr="00155F52">
        <w:rPr>
          <w:rFonts w:ascii="Arial" w:eastAsia="Arial" w:hAnsi="Arial" w:cs="Arial"/>
          <w:spacing w:val="-5"/>
          <w:sz w:val="24"/>
          <w:szCs w:val="24"/>
        </w:rPr>
        <w:t xml:space="preserve"> </w:t>
      </w:r>
      <w:r w:rsidRPr="00155F52">
        <w:rPr>
          <w:rFonts w:ascii="Arial" w:eastAsia="Arial" w:hAnsi="Arial" w:cs="Arial"/>
          <w:sz w:val="24"/>
          <w:szCs w:val="24"/>
        </w:rPr>
        <w:t>credit</w:t>
      </w:r>
      <w:r w:rsidRPr="00155F52">
        <w:rPr>
          <w:rFonts w:ascii="Arial" w:eastAsia="Arial" w:hAnsi="Arial" w:cs="Arial"/>
          <w:spacing w:val="1"/>
          <w:sz w:val="24"/>
          <w:szCs w:val="24"/>
        </w:rPr>
        <w:t xml:space="preserve"> </w:t>
      </w:r>
      <w:r w:rsidRPr="00155F52">
        <w:rPr>
          <w:rFonts w:ascii="Arial" w:eastAsia="Arial" w:hAnsi="Arial" w:cs="Arial"/>
          <w:sz w:val="24"/>
          <w:szCs w:val="24"/>
        </w:rPr>
        <w:t>rating and the counterparty credit rating will be used to determine cash and time limits. The combined secured and unsecured investments in any one bank will not</w:t>
      </w:r>
      <w:r w:rsidRPr="00155F52">
        <w:rPr>
          <w:rFonts w:ascii="Arial" w:eastAsia="Arial" w:hAnsi="Arial" w:cs="Arial"/>
          <w:spacing w:val="1"/>
          <w:sz w:val="24"/>
          <w:szCs w:val="24"/>
        </w:rPr>
        <w:t xml:space="preserve"> </w:t>
      </w:r>
      <w:r w:rsidRPr="00155F52">
        <w:rPr>
          <w:rFonts w:ascii="Arial" w:eastAsia="Arial" w:hAnsi="Arial" w:cs="Arial"/>
          <w:sz w:val="24"/>
          <w:szCs w:val="24"/>
        </w:rPr>
        <w:t>exceed</w:t>
      </w:r>
      <w:r w:rsidRPr="00155F52">
        <w:rPr>
          <w:rFonts w:ascii="Arial" w:eastAsia="Arial" w:hAnsi="Arial" w:cs="Arial"/>
          <w:spacing w:val="-2"/>
          <w:sz w:val="24"/>
          <w:szCs w:val="24"/>
        </w:rPr>
        <w:t xml:space="preserve"> </w:t>
      </w:r>
      <w:r w:rsidRPr="00155F52">
        <w:rPr>
          <w:rFonts w:ascii="Arial" w:eastAsia="Arial" w:hAnsi="Arial" w:cs="Arial"/>
          <w:sz w:val="24"/>
          <w:szCs w:val="24"/>
        </w:rPr>
        <w:t>the</w:t>
      </w:r>
      <w:r w:rsidRPr="00155F52">
        <w:rPr>
          <w:rFonts w:ascii="Arial" w:eastAsia="Arial" w:hAnsi="Arial" w:cs="Arial"/>
          <w:spacing w:val="-1"/>
          <w:sz w:val="24"/>
          <w:szCs w:val="24"/>
        </w:rPr>
        <w:t xml:space="preserve"> </w:t>
      </w:r>
      <w:r w:rsidRPr="00155F52">
        <w:rPr>
          <w:rFonts w:ascii="Arial" w:eastAsia="Arial" w:hAnsi="Arial" w:cs="Arial"/>
          <w:sz w:val="24"/>
          <w:szCs w:val="24"/>
        </w:rPr>
        <w:t>cash</w:t>
      </w:r>
      <w:r w:rsidRPr="00155F52">
        <w:rPr>
          <w:rFonts w:ascii="Arial" w:eastAsia="Arial" w:hAnsi="Arial" w:cs="Arial"/>
          <w:spacing w:val="1"/>
          <w:sz w:val="24"/>
          <w:szCs w:val="24"/>
        </w:rPr>
        <w:t xml:space="preserve"> </w:t>
      </w:r>
      <w:r w:rsidRPr="00155F52">
        <w:rPr>
          <w:rFonts w:ascii="Arial" w:eastAsia="Arial" w:hAnsi="Arial" w:cs="Arial"/>
          <w:sz w:val="24"/>
          <w:szCs w:val="24"/>
        </w:rPr>
        <w:t>limit</w:t>
      </w:r>
      <w:r w:rsidRPr="00155F52">
        <w:rPr>
          <w:rFonts w:ascii="Arial" w:eastAsia="Arial" w:hAnsi="Arial" w:cs="Arial"/>
          <w:spacing w:val="-1"/>
          <w:sz w:val="24"/>
          <w:szCs w:val="24"/>
        </w:rPr>
        <w:t xml:space="preserve"> </w:t>
      </w:r>
      <w:r w:rsidRPr="00155F52">
        <w:rPr>
          <w:rFonts w:ascii="Arial" w:eastAsia="Arial" w:hAnsi="Arial" w:cs="Arial"/>
          <w:sz w:val="24"/>
          <w:szCs w:val="24"/>
        </w:rPr>
        <w:t>for secured</w:t>
      </w:r>
      <w:r w:rsidRPr="00155F52">
        <w:rPr>
          <w:rFonts w:ascii="Arial" w:eastAsia="Arial" w:hAnsi="Arial" w:cs="Arial"/>
          <w:spacing w:val="-1"/>
          <w:sz w:val="24"/>
          <w:szCs w:val="24"/>
        </w:rPr>
        <w:t xml:space="preserve"> </w:t>
      </w:r>
      <w:r w:rsidRPr="00155F52">
        <w:rPr>
          <w:rFonts w:ascii="Arial" w:eastAsia="Arial" w:hAnsi="Arial" w:cs="Arial"/>
          <w:sz w:val="24"/>
          <w:szCs w:val="24"/>
        </w:rPr>
        <w:t>investments.</w:t>
      </w:r>
    </w:p>
    <w:p w14:paraId="595E378E" w14:textId="77777777" w:rsidR="00155F52" w:rsidRPr="00155F52" w:rsidRDefault="00155F52" w:rsidP="00155F52">
      <w:pPr>
        <w:widowControl w:val="0"/>
        <w:autoSpaceDE w:val="0"/>
        <w:autoSpaceDN w:val="0"/>
        <w:spacing w:before="10" w:after="0" w:line="240" w:lineRule="auto"/>
        <w:rPr>
          <w:rFonts w:ascii="Arial" w:eastAsia="Arial" w:hAnsi="Arial" w:cs="Arial"/>
          <w:sz w:val="24"/>
          <w:szCs w:val="24"/>
        </w:rPr>
      </w:pPr>
    </w:p>
    <w:p w14:paraId="0E86384D" w14:textId="77777777" w:rsidR="00155F52" w:rsidRPr="00155F52" w:rsidRDefault="00155F52" w:rsidP="00155F52">
      <w:pPr>
        <w:widowControl w:val="0"/>
        <w:numPr>
          <w:ilvl w:val="0"/>
          <w:numId w:val="14"/>
        </w:numPr>
        <w:tabs>
          <w:tab w:val="left" w:pos="515"/>
        </w:tabs>
        <w:autoSpaceDE w:val="0"/>
        <w:autoSpaceDN w:val="0"/>
        <w:spacing w:before="1" w:after="0" w:line="240" w:lineRule="auto"/>
        <w:ind w:hanging="412"/>
        <w:rPr>
          <w:rFonts w:ascii="Arial" w:eastAsia="Arial" w:hAnsi="Arial" w:cs="Arial"/>
          <w:sz w:val="24"/>
          <w:szCs w:val="24"/>
        </w:rPr>
      </w:pPr>
      <w:r w:rsidRPr="00155F52">
        <w:rPr>
          <w:rFonts w:ascii="Arial" w:eastAsia="Arial" w:hAnsi="Arial" w:cs="Arial"/>
          <w:sz w:val="24"/>
          <w:szCs w:val="24"/>
        </w:rPr>
        <w:t>Overall</w:t>
      </w:r>
      <w:r w:rsidRPr="00155F52">
        <w:rPr>
          <w:rFonts w:ascii="Arial" w:eastAsia="Arial" w:hAnsi="Arial" w:cs="Arial"/>
          <w:spacing w:val="-3"/>
          <w:sz w:val="24"/>
          <w:szCs w:val="24"/>
        </w:rPr>
        <w:t xml:space="preserve"> </w:t>
      </w:r>
      <w:r w:rsidRPr="00155F52">
        <w:rPr>
          <w:rFonts w:ascii="Arial" w:eastAsia="Arial" w:hAnsi="Arial" w:cs="Arial"/>
          <w:sz w:val="24"/>
          <w:szCs w:val="24"/>
        </w:rPr>
        <w:t>limit</w:t>
      </w:r>
      <w:r w:rsidRPr="00155F52">
        <w:rPr>
          <w:rFonts w:ascii="Arial" w:eastAsia="Arial" w:hAnsi="Arial" w:cs="Arial"/>
          <w:spacing w:val="-4"/>
          <w:sz w:val="24"/>
          <w:szCs w:val="24"/>
        </w:rPr>
        <w:t xml:space="preserve"> </w:t>
      </w:r>
      <w:r w:rsidRPr="00155F52">
        <w:rPr>
          <w:rFonts w:ascii="Arial" w:eastAsia="Arial" w:hAnsi="Arial" w:cs="Arial"/>
          <w:sz w:val="24"/>
          <w:szCs w:val="24"/>
        </w:rPr>
        <w:t>for</w:t>
      </w:r>
      <w:r w:rsidRPr="00155F52">
        <w:rPr>
          <w:rFonts w:ascii="Arial" w:eastAsia="Arial" w:hAnsi="Arial" w:cs="Arial"/>
          <w:spacing w:val="-3"/>
          <w:sz w:val="24"/>
          <w:szCs w:val="24"/>
        </w:rPr>
        <w:t xml:space="preserve"> </w:t>
      </w:r>
      <w:r w:rsidRPr="00155F52">
        <w:rPr>
          <w:rFonts w:ascii="Arial" w:eastAsia="Arial" w:hAnsi="Arial" w:cs="Arial"/>
          <w:sz w:val="24"/>
          <w:szCs w:val="24"/>
        </w:rPr>
        <w:t>investments</w:t>
      </w:r>
      <w:r w:rsidRPr="00155F52">
        <w:rPr>
          <w:rFonts w:ascii="Arial" w:eastAsia="Arial" w:hAnsi="Arial" w:cs="Arial"/>
          <w:spacing w:val="-4"/>
          <w:sz w:val="24"/>
          <w:szCs w:val="24"/>
        </w:rPr>
        <w:t xml:space="preserve"> </w:t>
      </w:r>
      <w:r w:rsidRPr="00155F52">
        <w:rPr>
          <w:rFonts w:ascii="Arial" w:eastAsia="Arial" w:hAnsi="Arial" w:cs="Arial"/>
          <w:sz w:val="24"/>
          <w:szCs w:val="24"/>
        </w:rPr>
        <w:t>in</w:t>
      </w:r>
      <w:r w:rsidRPr="00155F52">
        <w:rPr>
          <w:rFonts w:ascii="Arial" w:eastAsia="Arial" w:hAnsi="Arial" w:cs="Arial"/>
          <w:spacing w:val="-4"/>
          <w:sz w:val="24"/>
          <w:szCs w:val="24"/>
        </w:rPr>
        <w:t xml:space="preserve"> </w:t>
      </w:r>
      <w:r w:rsidRPr="00155F52">
        <w:rPr>
          <w:rFonts w:ascii="Arial" w:eastAsia="Arial" w:hAnsi="Arial" w:cs="Arial"/>
          <w:sz w:val="24"/>
          <w:szCs w:val="24"/>
        </w:rPr>
        <w:t>MMFs</w:t>
      </w:r>
      <w:r w:rsidRPr="00155F52">
        <w:rPr>
          <w:rFonts w:ascii="Arial" w:eastAsia="Arial" w:hAnsi="Arial" w:cs="Arial"/>
          <w:spacing w:val="-3"/>
          <w:sz w:val="24"/>
          <w:szCs w:val="24"/>
        </w:rPr>
        <w:t xml:space="preserve"> </w:t>
      </w:r>
      <w:r w:rsidRPr="00155F52">
        <w:rPr>
          <w:rFonts w:ascii="Arial" w:eastAsia="Arial" w:hAnsi="Arial" w:cs="Arial"/>
          <w:sz w:val="24"/>
          <w:szCs w:val="24"/>
        </w:rPr>
        <w:t>of</w:t>
      </w:r>
      <w:r w:rsidRPr="00155F52">
        <w:rPr>
          <w:rFonts w:ascii="Arial" w:eastAsia="Arial" w:hAnsi="Arial" w:cs="Arial"/>
          <w:spacing w:val="-2"/>
          <w:sz w:val="24"/>
          <w:szCs w:val="24"/>
        </w:rPr>
        <w:t xml:space="preserve"> </w:t>
      </w:r>
      <w:r w:rsidRPr="00155F52">
        <w:rPr>
          <w:rFonts w:ascii="Arial" w:eastAsia="Arial" w:hAnsi="Arial" w:cs="Arial"/>
          <w:sz w:val="24"/>
          <w:szCs w:val="24"/>
        </w:rPr>
        <w:t>£24</w:t>
      </w:r>
      <w:r w:rsidRPr="00155F52">
        <w:rPr>
          <w:rFonts w:ascii="Arial" w:eastAsia="Arial" w:hAnsi="Arial" w:cs="Arial"/>
          <w:spacing w:val="-3"/>
          <w:sz w:val="24"/>
          <w:szCs w:val="24"/>
        </w:rPr>
        <w:t xml:space="preserve"> </w:t>
      </w:r>
      <w:r w:rsidRPr="00155F52">
        <w:rPr>
          <w:rFonts w:ascii="Arial" w:eastAsia="Arial" w:hAnsi="Arial" w:cs="Arial"/>
          <w:sz w:val="24"/>
          <w:szCs w:val="24"/>
        </w:rPr>
        <w:t>million.</w:t>
      </w:r>
    </w:p>
    <w:p w14:paraId="4E2AA329" w14:textId="77777777" w:rsidR="00155F52" w:rsidRPr="00155F52" w:rsidRDefault="00155F52" w:rsidP="00155F52">
      <w:pPr>
        <w:widowControl w:val="0"/>
        <w:autoSpaceDE w:val="0"/>
        <w:autoSpaceDN w:val="0"/>
        <w:spacing w:before="2" w:after="0" w:line="240" w:lineRule="auto"/>
        <w:rPr>
          <w:rFonts w:ascii="Arial" w:eastAsia="Arial" w:hAnsi="Arial" w:cs="Arial"/>
          <w:sz w:val="24"/>
          <w:szCs w:val="24"/>
        </w:rPr>
      </w:pPr>
    </w:p>
    <w:p w14:paraId="54C236C8" w14:textId="77777777" w:rsidR="00155F52" w:rsidRPr="00155F52" w:rsidRDefault="00155F52" w:rsidP="00155F52">
      <w:pPr>
        <w:widowControl w:val="0"/>
        <w:numPr>
          <w:ilvl w:val="0"/>
          <w:numId w:val="14"/>
        </w:numPr>
        <w:tabs>
          <w:tab w:val="left" w:pos="515"/>
        </w:tabs>
        <w:autoSpaceDE w:val="0"/>
        <w:autoSpaceDN w:val="0"/>
        <w:spacing w:after="0" w:line="240" w:lineRule="auto"/>
        <w:ind w:hanging="412"/>
        <w:rPr>
          <w:rFonts w:ascii="Arial" w:eastAsia="Arial" w:hAnsi="Arial" w:cs="Arial"/>
          <w:sz w:val="24"/>
          <w:szCs w:val="24"/>
        </w:rPr>
      </w:pPr>
      <w:r w:rsidRPr="00155F52">
        <w:rPr>
          <w:rFonts w:ascii="Arial" w:eastAsia="Arial" w:hAnsi="Arial" w:cs="Arial"/>
          <w:sz w:val="24"/>
          <w:szCs w:val="24"/>
        </w:rPr>
        <w:t>Overall</w:t>
      </w:r>
      <w:r w:rsidRPr="00155F52">
        <w:rPr>
          <w:rFonts w:ascii="Arial" w:eastAsia="Arial" w:hAnsi="Arial" w:cs="Arial"/>
          <w:spacing w:val="-2"/>
          <w:sz w:val="24"/>
          <w:szCs w:val="24"/>
        </w:rPr>
        <w:t xml:space="preserve"> </w:t>
      </w:r>
      <w:r w:rsidRPr="00155F52">
        <w:rPr>
          <w:rFonts w:ascii="Arial" w:eastAsia="Arial" w:hAnsi="Arial" w:cs="Arial"/>
          <w:sz w:val="24"/>
          <w:szCs w:val="24"/>
        </w:rPr>
        <w:t>limit</w:t>
      </w:r>
      <w:r w:rsidRPr="00155F52">
        <w:rPr>
          <w:rFonts w:ascii="Arial" w:eastAsia="Arial" w:hAnsi="Arial" w:cs="Arial"/>
          <w:spacing w:val="-3"/>
          <w:sz w:val="24"/>
          <w:szCs w:val="24"/>
        </w:rPr>
        <w:t xml:space="preserve"> </w:t>
      </w:r>
      <w:r w:rsidRPr="00155F52">
        <w:rPr>
          <w:rFonts w:ascii="Arial" w:eastAsia="Arial" w:hAnsi="Arial" w:cs="Arial"/>
          <w:sz w:val="24"/>
          <w:szCs w:val="24"/>
        </w:rPr>
        <w:t>of</w:t>
      </w:r>
      <w:r w:rsidRPr="00155F52">
        <w:rPr>
          <w:rFonts w:ascii="Arial" w:eastAsia="Arial" w:hAnsi="Arial" w:cs="Arial"/>
          <w:spacing w:val="-1"/>
          <w:sz w:val="24"/>
          <w:szCs w:val="24"/>
        </w:rPr>
        <w:t xml:space="preserve"> </w:t>
      </w:r>
      <w:r w:rsidRPr="00155F52">
        <w:rPr>
          <w:rFonts w:ascii="Arial" w:eastAsia="Arial" w:hAnsi="Arial" w:cs="Arial"/>
          <w:sz w:val="24"/>
          <w:szCs w:val="24"/>
        </w:rPr>
        <w:t>£18</w:t>
      </w:r>
      <w:r w:rsidRPr="00155F52">
        <w:rPr>
          <w:rFonts w:ascii="Arial" w:eastAsia="Arial" w:hAnsi="Arial" w:cs="Arial"/>
          <w:spacing w:val="-2"/>
          <w:sz w:val="24"/>
          <w:szCs w:val="24"/>
        </w:rPr>
        <w:t xml:space="preserve"> </w:t>
      </w:r>
      <w:r w:rsidRPr="00155F52">
        <w:rPr>
          <w:rFonts w:ascii="Arial" w:eastAsia="Arial" w:hAnsi="Arial" w:cs="Arial"/>
          <w:sz w:val="24"/>
          <w:szCs w:val="24"/>
        </w:rPr>
        <w:t>million.</w:t>
      </w:r>
    </w:p>
    <w:p w14:paraId="39BC7D29" w14:textId="77777777" w:rsidR="00155F52" w:rsidRPr="00155F52" w:rsidRDefault="00155F52" w:rsidP="00155F52">
      <w:pPr>
        <w:widowControl w:val="0"/>
        <w:autoSpaceDE w:val="0"/>
        <w:autoSpaceDN w:val="0"/>
        <w:spacing w:after="0" w:line="240" w:lineRule="auto"/>
        <w:rPr>
          <w:rFonts w:ascii="Arial" w:eastAsia="Arial" w:hAnsi="Arial" w:cs="Arial"/>
          <w:sz w:val="20"/>
        </w:rPr>
        <w:sectPr w:rsidR="00155F52" w:rsidRPr="00155F52" w:rsidSect="00F260AD">
          <w:pgSz w:w="11910" w:h="16840"/>
          <w:pgMar w:top="1380" w:right="1100" w:bottom="520" w:left="1100" w:header="0" w:footer="918" w:gutter="0"/>
          <w:cols w:space="720"/>
          <w:docGrid w:linePitch="299"/>
        </w:sectPr>
      </w:pPr>
    </w:p>
    <w:p w14:paraId="0F1A53F5" w14:textId="77777777" w:rsidR="00155F52" w:rsidRPr="00155F52" w:rsidRDefault="00155F52" w:rsidP="00155F52">
      <w:pPr>
        <w:widowControl w:val="0"/>
        <w:autoSpaceDE w:val="0"/>
        <w:autoSpaceDN w:val="0"/>
        <w:spacing w:before="3" w:after="0" w:line="240" w:lineRule="auto"/>
        <w:rPr>
          <w:rFonts w:ascii="Arial" w:eastAsia="Arial" w:hAnsi="Arial" w:cs="Arial"/>
          <w:sz w:val="24"/>
          <w:szCs w:val="24"/>
        </w:rPr>
      </w:pPr>
    </w:p>
    <w:p w14:paraId="00138B1D" w14:textId="77777777" w:rsidR="00155F52" w:rsidRPr="00155F52" w:rsidRDefault="00155F52" w:rsidP="00155F52">
      <w:pPr>
        <w:widowControl w:val="0"/>
        <w:autoSpaceDE w:val="0"/>
        <w:autoSpaceDN w:val="0"/>
        <w:spacing w:before="94" w:after="0" w:line="240" w:lineRule="auto"/>
        <w:ind w:right="457"/>
        <w:jc w:val="right"/>
        <w:rPr>
          <w:rFonts w:ascii="Arial" w:eastAsia="Arial" w:hAnsi="Arial" w:cs="Arial"/>
          <w:b/>
          <w:sz w:val="24"/>
          <w:szCs w:val="24"/>
        </w:rPr>
      </w:pPr>
      <w:r w:rsidRPr="00155F52">
        <w:rPr>
          <w:rFonts w:ascii="Arial" w:eastAsia="Arial" w:hAnsi="Arial" w:cs="Arial"/>
          <w:b/>
          <w:sz w:val="24"/>
          <w:szCs w:val="24"/>
        </w:rPr>
        <w:t>Appendix C</w:t>
      </w:r>
    </w:p>
    <w:p w14:paraId="08CC985A" w14:textId="77777777" w:rsidR="00155F52" w:rsidRPr="00155F52" w:rsidRDefault="00155F52" w:rsidP="00155F52">
      <w:pPr>
        <w:widowControl w:val="0"/>
        <w:autoSpaceDE w:val="0"/>
        <w:autoSpaceDN w:val="0"/>
        <w:spacing w:before="1" w:after="0" w:line="240" w:lineRule="auto"/>
        <w:rPr>
          <w:rFonts w:ascii="Arial" w:eastAsia="Arial" w:hAnsi="Arial" w:cs="Arial"/>
          <w:b/>
          <w:sz w:val="19"/>
          <w:szCs w:val="24"/>
        </w:rPr>
      </w:pPr>
    </w:p>
    <w:p w14:paraId="2BFD6CBF" w14:textId="77777777" w:rsidR="00155F52" w:rsidRPr="00155F52" w:rsidRDefault="00155F52" w:rsidP="00155F52">
      <w:pPr>
        <w:widowControl w:val="0"/>
        <w:autoSpaceDE w:val="0"/>
        <w:autoSpaceDN w:val="0"/>
        <w:spacing w:after="0" w:line="240" w:lineRule="auto"/>
        <w:rPr>
          <w:rFonts w:ascii="Arial" w:eastAsia="Arial" w:hAnsi="Arial" w:cs="Arial"/>
          <w:b/>
        </w:rPr>
      </w:pPr>
      <w:r w:rsidRPr="00155F52">
        <w:rPr>
          <w:rFonts w:ascii="Arial" w:eastAsia="Arial" w:hAnsi="Arial" w:cs="Arial"/>
          <w:b/>
          <w:u w:val="single"/>
        </w:rPr>
        <w:t>Credit</w:t>
      </w:r>
      <w:r w:rsidRPr="00155F52">
        <w:rPr>
          <w:rFonts w:ascii="Arial" w:eastAsia="Arial" w:hAnsi="Arial" w:cs="Arial"/>
          <w:b/>
          <w:spacing w:val="-3"/>
          <w:u w:val="single"/>
        </w:rPr>
        <w:t xml:space="preserve"> </w:t>
      </w:r>
      <w:r w:rsidRPr="00155F52">
        <w:rPr>
          <w:rFonts w:ascii="Arial" w:eastAsia="Arial" w:hAnsi="Arial" w:cs="Arial"/>
          <w:b/>
          <w:u w:val="single"/>
        </w:rPr>
        <w:t>ratings</w:t>
      </w:r>
    </w:p>
    <w:p w14:paraId="3441976D" w14:textId="77777777" w:rsidR="00155F52" w:rsidRPr="00155F52" w:rsidRDefault="00155F52" w:rsidP="00155F52">
      <w:pPr>
        <w:widowControl w:val="0"/>
        <w:autoSpaceDE w:val="0"/>
        <w:autoSpaceDN w:val="0"/>
        <w:spacing w:before="3" w:after="0" w:line="240" w:lineRule="auto"/>
        <w:rPr>
          <w:rFonts w:ascii="Arial" w:eastAsia="Arial" w:hAnsi="Arial" w:cs="Arial"/>
          <w:b/>
          <w:szCs w:val="24"/>
        </w:rPr>
      </w:pPr>
    </w:p>
    <w:tbl>
      <w:tblPr>
        <w:tblW w:w="0" w:type="auto"/>
        <w:tblCellSpacing w:w="14" w:type="dxa"/>
        <w:tblInd w:w="152" w:type="dxa"/>
        <w:tblLayout w:type="fixed"/>
        <w:tblCellMar>
          <w:left w:w="0" w:type="dxa"/>
          <w:right w:w="0" w:type="dxa"/>
        </w:tblCellMar>
        <w:tblLook w:val="01E0" w:firstRow="1" w:lastRow="1" w:firstColumn="1" w:lastColumn="1" w:noHBand="0" w:noVBand="0"/>
      </w:tblPr>
      <w:tblGrid>
        <w:gridCol w:w="1105"/>
        <w:gridCol w:w="1141"/>
        <w:gridCol w:w="1104"/>
        <w:gridCol w:w="1142"/>
        <w:gridCol w:w="1106"/>
        <w:gridCol w:w="1142"/>
        <w:gridCol w:w="2093"/>
      </w:tblGrid>
      <w:tr w:rsidR="00155F52" w:rsidRPr="00155F52" w14:paraId="6828A9D2" w14:textId="77777777" w:rsidTr="00D92596">
        <w:trPr>
          <w:trHeight w:val="494"/>
          <w:tblCellSpacing w:w="14" w:type="dxa"/>
        </w:trPr>
        <w:tc>
          <w:tcPr>
            <w:tcW w:w="2176" w:type="dxa"/>
            <w:gridSpan w:val="2"/>
            <w:tcBorders>
              <w:top w:val="nil"/>
              <w:left w:val="nil"/>
              <w:right w:val="nil"/>
            </w:tcBorders>
            <w:shd w:val="clear" w:color="auto" w:fill="FF0000"/>
          </w:tcPr>
          <w:p w14:paraId="535AEF29" w14:textId="77777777" w:rsidR="00155F52" w:rsidRPr="00155F52" w:rsidRDefault="00155F52" w:rsidP="00155F52">
            <w:pPr>
              <w:widowControl w:val="0"/>
              <w:autoSpaceDE w:val="0"/>
              <w:autoSpaceDN w:val="0"/>
              <w:spacing w:before="9" w:after="0" w:line="240" w:lineRule="auto"/>
              <w:rPr>
                <w:rFonts w:ascii="Arial" w:eastAsia="Arial" w:hAnsi="Arial" w:cs="Arial"/>
                <w:b/>
              </w:rPr>
            </w:pPr>
            <w:r w:rsidRPr="00155F52">
              <w:rPr>
                <w:rFonts w:ascii="Arial" w:eastAsia="Arial" w:hAnsi="Arial" w:cs="Arial"/>
                <w:b/>
              </w:rPr>
              <w:t>Moody's</w:t>
            </w:r>
          </w:p>
        </w:tc>
        <w:tc>
          <w:tcPr>
            <w:tcW w:w="2190" w:type="dxa"/>
            <w:gridSpan w:val="2"/>
            <w:tcBorders>
              <w:top w:val="nil"/>
              <w:left w:val="nil"/>
              <w:right w:val="nil"/>
            </w:tcBorders>
            <w:shd w:val="clear" w:color="auto" w:fill="FFD700"/>
          </w:tcPr>
          <w:p w14:paraId="6295EB6F" w14:textId="77777777" w:rsidR="00155F52" w:rsidRPr="00155F52" w:rsidRDefault="00155F52" w:rsidP="00155F52">
            <w:pPr>
              <w:widowControl w:val="0"/>
              <w:autoSpaceDE w:val="0"/>
              <w:autoSpaceDN w:val="0"/>
              <w:spacing w:before="9" w:after="0" w:line="240" w:lineRule="auto"/>
              <w:ind w:right="848"/>
              <w:jc w:val="center"/>
              <w:rPr>
                <w:rFonts w:ascii="Arial" w:eastAsia="Arial" w:hAnsi="Arial" w:cs="Arial"/>
                <w:b/>
              </w:rPr>
            </w:pPr>
            <w:r w:rsidRPr="00155F52">
              <w:rPr>
                <w:rFonts w:ascii="Arial" w:eastAsia="Arial" w:hAnsi="Arial" w:cs="Arial"/>
                <w:b/>
              </w:rPr>
              <w:t>S&amp;P</w:t>
            </w:r>
          </w:p>
        </w:tc>
        <w:tc>
          <w:tcPr>
            <w:tcW w:w="2192" w:type="dxa"/>
            <w:gridSpan w:val="2"/>
            <w:tcBorders>
              <w:top w:val="nil"/>
              <w:left w:val="nil"/>
              <w:right w:val="nil"/>
            </w:tcBorders>
            <w:shd w:val="clear" w:color="auto" w:fill="4169E1"/>
          </w:tcPr>
          <w:p w14:paraId="2C75DE9D" w14:textId="77777777" w:rsidR="00155F52" w:rsidRPr="00155F52" w:rsidRDefault="00155F52" w:rsidP="00155F52">
            <w:pPr>
              <w:widowControl w:val="0"/>
              <w:autoSpaceDE w:val="0"/>
              <w:autoSpaceDN w:val="0"/>
              <w:spacing w:before="9" w:after="0" w:line="240" w:lineRule="auto"/>
              <w:ind w:right="808"/>
              <w:jc w:val="center"/>
              <w:rPr>
                <w:rFonts w:ascii="Arial" w:eastAsia="Arial" w:hAnsi="Arial" w:cs="Arial"/>
                <w:b/>
              </w:rPr>
            </w:pPr>
            <w:r w:rsidRPr="00155F52">
              <w:rPr>
                <w:rFonts w:ascii="Arial" w:eastAsia="Arial" w:hAnsi="Arial" w:cs="Arial"/>
                <w:b/>
              </w:rPr>
              <w:t>Fitch</w:t>
            </w:r>
          </w:p>
        </w:tc>
        <w:tc>
          <w:tcPr>
            <w:tcW w:w="2051" w:type="dxa"/>
            <w:vMerge w:val="restart"/>
            <w:tcBorders>
              <w:top w:val="nil"/>
              <w:left w:val="nil"/>
              <w:right w:val="nil"/>
            </w:tcBorders>
          </w:tcPr>
          <w:p w14:paraId="40E9E5FB" w14:textId="77777777" w:rsidR="00155F52" w:rsidRPr="00155F52" w:rsidRDefault="00155F52" w:rsidP="00155F52">
            <w:pPr>
              <w:widowControl w:val="0"/>
              <w:autoSpaceDE w:val="0"/>
              <w:autoSpaceDN w:val="0"/>
              <w:spacing w:after="0" w:line="240" w:lineRule="auto"/>
              <w:rPr>
                <w:rFonts w:ascii="Times New Roman" w:eastAsia="Arial" w:hAnsi="Arial" w:cs="Arial"/>
              </w:rPr>
            </w:pPr>
          </w:p>
        </w:tc>
      </w:tr>
      <w:tr w:rsidR="00155F52" w:rsidRPr="00155F52" w14:paraId="793425C5" w14:textId="77777777" w:rsidTr="00D92596">
        <w:trPr>
          <w:trHeight w:val="742"/>
          <w:tblCellSpacing w:w="14" w:type="dxa"/>
        </w:trPr>
        <w:tc>
          <w:tcPr>
            <w:tcW w:w="1063" w:type="dxa"/>
            <w:tcBorders>
              <w:left w:val="nil"/>
              <w:right w:val="nil"/>
            </w:tcBorders>
            <w:shd w:val="clear" w:color="auto" w:fill="F08080"/>
          </w:tcPr>
          <w:p w14:paraId="7B07BCBF" w14:textId="77777777" w:rsidR="00155F52" w:rsidRPr="00155F52" w:rsidRDefault="00155F52" w:rsidP="00155F52">
            <w:pPr>
              <w:widowControl w:val="0"/>
              <w:autoSpaceDE w:val="0"/>
              <w:autoSpaceDN w:val="0"/>
              <w:spacing w:before="2" w:after="0" w:line="240" w:lineRule="auto"/>
              <w:rPr>
                <w:rFonts w:ascii="Arial" w:eastAsia="Arial" w:hAnsi="Arial" w:cs="Arial"/>
                <w:b/>
              </w:rPr>
            </w:pPr>
            <w:r w:rsidRPr="00155F52">
              <w:rPr>
                <w:rFonts w:ascii="Arial" w:eastAsia="Arial" w:hAnsi="Arial" w:cs="Arial"/>
                <w:b/>
              </w:rPr>
              <w:t>Long-</w:t>
            </w:r>
            <w:r w:rsidRPr="00155F52">
              <w:rPr>
                <w:rFonts w:ascii="Arial" w:eastAsia="Arial" w:hAnsi="Arial" w:cs="Arial"/>
                <w:b/>
                <w:spacing w:val="-59"/>
              </w:rPr>
              <w:t xml:space="preserve"> </w:t>
            </w:r>
            <w:r w:rsidRPr="00155F52">
              <w:rPr>
                <w:rFonts w:ascii="Arial" w:eastAsia="Arial" w:hAnsi="Arial" w:cs="Arial"/>
                <w:b/>
              </w:rPr>
              <w:t>term</w:t>
            </w:r>
          </w:p>
        </w:tc>
        <w:tc>
          <w:tcPr>
            <w:tcW w:w="1113" w:type="dxa"/>
            <w:tcBorders>
              <w:left w:val="nil"/>
              <w:right w:val="nil"/>
            </w:tcBorders>
            <w:shd w:val="clear" w:color="auto" w:fill="FFC0CB"/>
          </w:tcPr>
          <w:p w14:paraId="72E0D4F5" w14:textId="77777777" w:rsidR="00155F52" w:rsidRPr="00155F52" w:rsidRDefault="00155F52" w:rsidP="00155F52">
            <w:pPr>
              <w:widowControl w:val="0"/>
              <w:autoSpaceDE w:val="0"/>
              <w:autoSpaceDN w:val="0"/>
              <w:spacing w:before="2" w:after="0" w:line="240" w:lineRule="auto"/>
              <w:rPr>
                <w:rFonts w:ascii="Arial" w:eastAsia="Arial" w:hAnsi="Arial" w:cs="Arial"/>
                <w:b/>
              </w:rPr>
            </w:pPr>
            <w:r w:rsidRPr="00155F52">
              <w:rPr>
                <w:rFonts w:ascii="Arial" w:eastAsia="Arial" w:hAnsi="Arial" w:cs="Arial"/>
                <w:b/>
              </w:rPr>
              <w:t>Short-</w:t>
            </w:r>
            <w:r w:rsidRPr="00155F52">
              <w:rPr>
                <w:rFonts w:ascii="Arial" w:eastAsia="Arial" w:hAnsi="Arial" w:cs="Arial"/>
                <w:b/>
                <w:spacing w:val="-59"/>
              </w:rPr>
              <w:t xml:space="preserve"> </w:t>
            </w:r>
            <w:r w:rsidRPr="00155F52">
              <w:rPr>
                <w:rFonts w:ascii="Arial" w:eastAsia="Arial" w:hAnsi="Arial" w:cs="Arial"/>
                <w:b/>
              </w:rPr>
              <w:t>term</w:t>
            </w:r>
          </w:p>
        </w:tc>
        <w:tc>
          <w:tcPr>
            <w:tcW w:w="1076" w:type="dxa"/>
            <w:tcBorders>
              <w:left w:val="nil"/>
            </w:tcBorders>
            <w:shd w:val="clear" w:color="auto" w:fill="FFFF00"/>
          </w:tcPr>
          <w:p w14:paraId="3656B8A9" w14:textId="77777777" w:rsidR="00155F52" w:rsidRPr="00155F52" w:rsidRDefault="00155F52" w:rsidP="00155F52">
            <w:pPr>
              <w:widowControl w:val="0"/>
              <w:autoSpaceDE w:val="0"/>
              <w:autoSpaceDN w:val="0"/>
              <w:spacing w:before="2" w:after="0" w:line="240" w:lineRule="auto"/>
              <w:rPr>
                <w:rFonts w:ascii="Arial" w:eastAsia="Arial" w:hAnsi="Arial" w:cs="Arial"/>
                <w:b/>
              </w:rPr>
            </w:pPr>
            <w:r w:rsidRPr="00155F52">
              <w:rPr>
                <w:rFonts w:ascii="Arial" w:eastAsia="Arial" w:hAnsi="Arial" w:cs="Arial"/>
                <w:b/>
              </w:rPr>
              <w:t>Long-</w:t>
            </w:r>
            <w:r w:rsidRPr="00155F52">
              <w:rPr>
                <w:rFonts w:ascii="Arial" w:eastAsia="Arial" w:hAnsi="Arial" w:cs="Arial"/>
                <w:b/>
                <w:spacing w:val="-59"/>
              </w:rPr>
              <w:t xml:space="preserve"> </w:t>
            </w:r>
            <w:r w:rsidRPr="00155F52">
              <w:rPr>
                <w:rFonts w:ascii="Arial" w:eastAsia="Arial" w:hAnsi="Arial" w:cs="Arial"/>
                <w:b/>
              </w:rPr>
              <w:t>term</w:t>
            </w:r>
          </w:p>
        </w:tc>
        <w:tc>
          <w:tcPr>
            <w:tcW w:w="1114" w:type="dxa"/>
            <w:tcBorders>
              <w:right w:val="nil"/>
            </w:tcBorders>
            <w:shd w:val="clear" w:color="auto" w:fill="F0E68C"/>
          </w:tcPr>
          <w:p w14:paraId="37F6F666" w14:textId="77777777" w:rsidR="00155F52" w:rsidRPr="00155F52" w:rsidRDefault="00155F52" w:rsidP="00155F52">
            <w:pPr>
              <w:widowControl w:val="0"/>
              <w:autoSpaceDE w:val="0"/>
              <w:autoSpaceDN w:val="0"/>
              <w:spacing w:before="2" w:after="0" w:line="240" w:lineRule="auto"/>
              <w:rPr>
                <w:rFonts w:ascii="Arial" w:eastAsia="Arial" w:hAnsi="Arial" w:cs="Arial"/>
                <w:b/>
              </w:rPr>
            </w:pPr>
            <w:r w:rsidRPr="00155F52">
              <w:rPr>
                <w:rFonts w:ascii="Arial" w:eastAsia="Arial" w:hAnsi="Arial" w:cs="Arial"/>
                <w:b/>
              </w:rPr>
              <w:t>Short-</w:t>
            </w:r>
            <w:r w:rsidRPr="00155F52">
              <w:rPr>
                <w:rFonts w:ascii="Arial" w:eastAsia="Arial" w:hAnsi="Arial" w:cs="Arial"/>
                <w:b/>
                <w:spacing w:val="-59"/>
              </w:rPr>
              <w:t xml:space="preserve"> </w:t>
            </w:r>
            <w:r w:rsidRPr="00155F52">
              <w:rPr>
                <w:rFonts w:ascii="Arial" w:eastAsia="Arial" w:hAnsi="Arial" w:cs="Arial"/>
                <w:b/>
              </w:rPr>
              <w:t>term</w:t>
            </w:r>
          </w:p>
        </w:tc>
        <w:tc>
          <w:tcPr>
            <w:tcW w:w="1078" w:type="dxa"/>
            <w:tcBorders>
              <w:left w:val="nil"/>
            </w:tcBorders>
            <w:shd w:val="clear" w:color="auto" w:fill="1E90FF"/>
          </w:tcPr>
          <w:p w14:paraId="18577A14" w14:textId="77777777" w:rsidR="00155F52" w:rsidRPr="00155F52" w:rsidRDefault="00155F52" w:rsidP="00155F52">
            <w:pPr>
              <w:widowControl w:val="0"/>
              <w:autoSpaceDE w:val="0"/>
              <w:autoSpaceDN w:val="0"/>
              <w:spacing w:before="2" w:after="0" w:line="240" w:lineRule="auto"/>
              <w:rPr>
                <w:rFonts w:ascii="Arial" w:eastAsia="Arial" w:hAnsi="Arial" w:cs="Arial"/>
                <w:b/>
              </w:rPr>
            </w:pPr>
            <w:r w:rsidRPr="00155F52">
              <w:rPr>
                <w:rFonts w:ascii="Arial" w:eastAsia="Arial" w:hAnsi="Arial" w:cs="Arial"/>
                <w:b/>
              </w:rPr>
              <w:t>Long-</w:t>
            </w:r>
            <w:r w:rsidRPr="00155F52">
              <w:rPr>
                <w:rFonts w:ascii="Arial" w:eastAsia="Arial" w:hAnsi="Arial" w:cs="Arial"/>
                <w:b/>
                <w:spacing w:val="-59"/>
              </w:rPr>
              <w:t xml:space="preserve"> </w:t>
            </w:r>
            <w:r w:rsidRPr="00155F52">
              <w:rPr>
                <w:rFonts w:ascii="Arial" w:eastAsia="Arial" w:hAnsi="Arial" w:cs="Arial"/>
                <w:b/>
              </w:rPr>
              <w:t>term</w:t>
            </w:r>
          </w:p>
        </w:tc>
        <w:tc>
          <w:tcPr>
            <w:tcW w:w="1114" w:type="dxa"/>
            <w:tcBorders>
              <w:right w:val="nil"/>
            </w:tcBorders>
            <w:shd w:val="clear" w:color="auto" w:fill="AFEEEE"/>
          </w:tcPr>
          <w:p w14:paraId="6EF30EA1" w14:textId="77777777" w:rsidR="00155F52" w:rsidRPr="00155F52" w:rsidRDefault="00155F52" w:rsidP="00155F52">
            <w:pPr>
              <w:widowControl w:val="0"/>
              <w:autoSpaceDE w:val="0"/>
              <w:autoSpaceDN w:val="0"/>
              <w:spacing w:before="2" w:after="0" w:line="240" w:lineRule="auto"/>
              <w:rPr>
                <w:rFonts w:ascii="Arial" w:eastAsia="Arial" w:hAnsi="Arial" w:cs="Arial"/>
                <w:b/>
              </w:rPr>
            </w:pPr>
            <w:r w:rsidRPr="00155F52">
              <w:rPr>
                <w:rFonts w:ascii="Arial" w:eastAsia="Arial" w:hAnsi="Arial" w:cs="Arial"/>
                <w:b/>
              </w:rPr>
              <w:t>Short-</w:t>
            </w:r>
            <w:r w:rsidRPr="00155F52">
              <w:rPr>
                <w:rFonts w:ascii="Arial" w:eastAsia="Arial" w:hAnsi="Arial" w:cs="Arial"/>
                <w:b/>
                <w:spacing w:val="-59"/>
              </w:rPr>
              <w:t xml:space="preserve"> </w:t>
            </w:r>
            <w:r w:rsidRPr="00155F52">
              <w:rPr>
                <w:rFonts w:ascii="Arial" w:eastAsia="Arial" w:hAnsi="Arial" w:cs="Arial"/>
                <w:b/>
              </w:rPr>
              <w:t>term</w:t>
            </w:r>
          </w:p>
        </w:tc>
        <w:tc>
          <w:tcPr>
            <w:tcW w:w="2051" w:type="dxa"/>
            <w:vMerge/>
            <w:tcBorders>
              <w:top w:val="nil"/>
              <w:left w:val="nil"/>
              <w:right w:val="nil"/>
            </w:tcBorders>
          </w:tcPr>
          <w:p w14:paraId="7D852D9F"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r>
      <w:tr w:rsidR="00155F52" w:rsidRPr="00155F52" w14:paraId="6CAC552C" w14:textId="77777777" w:rsidTr="00D92596">
        <w:trPr>
          <w:trHeight w:val="487"/>
          <w:tblCellSpacing w:w="14" w:type="dxa"/>
        </w:trPr>
        <w:tc>
          <w:tcPr>
            <w:tcW w:w="1063" w:type="dxa"/>
            <w:tcBorders>
              <w:left w:val="nil"/>
              <w:right w:val="nil"/>
            </w:tcBorders>
            <w:shd w:val="clear" w:color="auto" w:fill="F08080"/>
          </w:tcPr>
          <w:p w14:paraId="6099DDE4" w14:textId="77777777" w:rsidR="00155F52" w:rsidRPr="00155F52" w:rsidRDefault="00155F52" w:rsidP="00155F52">
            <w:pPr>
              <w:widowControl w:val="0"/>
              <w:autoSpaceDE w:val="0"/>
              <w:autoSpaceDN w:val="0"/>
              <w:spacing w:before="5" w:after="0" w:line="240" w:lineRule="auto"/>
              <w:ind w:right="325"/>
              <w:jc w:val="right"/>
              <w:rPr>
                <w:rFonts w:ascii="Arial" w:eastAsia="Arial" w:hAnsi="Arial" w:cs="Arial"/>
              </w:rPr>
            </w:pPr>
            <w:r w:rsidRPr="00155F52">
              <w:rPr>
                <w:rFonts w:ascii="Arial" w:eastAsia="Arial" w:hAnsi="Arial" w:cs="Arial"/>
              </w:rPr>
              <w:t>Aaa</w:t>
            </w:r>
          </w:p>
        </w:tc>
        <w:tc>
          <w:tcPr>
            <w:tcW w:w="1113" w:type="dxa"/>
            <w:vMerge w:val="restart"/>
            <w:tcBorders>
              <w:left w:val="nil"/>
              <w:right w:val="nil"/>
            </w:tcBorders>
            <w:shd w:val="clear" w:color="auto" w:fill="FFC0CB"/>
          </w:tcPr>
          <w:p w14:paraId="09E26041"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4C934AB8"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49A65C05"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0E250A3B"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3E0627D1" w14:textId="77777777" w:rsidR="00155F52" w:rsidRPr="00155F52" w:rsidRDefault="00155F52" w:rsidP="00155F52">
            <w:pPr>
              <w:widowControl w:val="0"/>
              <w:autoSpaceDE w:val="0"/>
              <w:autoSpaceDN w:val="0"/>
              <w:spacing w:before="3" w:after="0" w:line="240" w:lineRule="auto"/>
              <w:rPr>
                <w:rFonts w:ascii="Arial" w:eastAsia="Arial" w:hAnsi="Arial" w:cs="Arial"/>
                <w:b/>
                <w:sz w:val="20"/>
              </w:rPr>
            </w:pPr>
          </w:p>
          <w:p w14:paraId="0D32411D" w14:textId="77777777" w:rsidR="00155F52" w:rsidRPr="00155F52" w:rsidRDefault="00155F52" w:rsidP="00155F52">
            <w:pPr>
              <w:widowControl w:val="0"/>
              <w:autoSpaceDE w:val="0"/>
              <w:autoSpaceDN w:val="0"/>
              <w:spacing w:after="0" w:line="240" w:lineRule="auto"/>
              <w:ind w:right="365"/>
              <w:jc w:val="center"/>
              <w:rPr>
                <w:rFonts w:ascii="Arial" w:eastAsia="Arial" w:hAnsi="Arial" w:cs="Arial"/>
              </w:rPr>
            </w:pPr>
            <w:r w:rsidRPr="00155F52">
              <w:rPr>
                <w:rFonts w:ascii="Arial" w:eastAsia="Arial" w:hAnsi="Arial" w:cs="Arial"/>
              </w:rPr>
              <w:t>P-1</w:t>
            </w:r>
          </w:p>
        </w:tc>
        <w:tc>
          <w:tcPr>
            <w:tcW w:w="1076" w:type="dxa"/>
            <w:tcBorders>
              <w:left w:val="nil"/>
            </w:tcBorders>
            <w:shd w:val="clear" w:color="auto" w:fill="FFFF00"/>
          </w:tcPr>
          <w:p w14:paraId="5BF8B440" w14:textId="77777777" w:rsidR="00155F52" w:rsidRPr="00155F52" w:rsidRDefault="00155F52" w:rsidP="00155F52">
            <w:pPr>
              <w:widowControl w:val="0"/>
              <w:autoSpaceDE w:val="0"/>
              <w:autoSpaceDN w:val="0"/>
              <w:spacing w:before="5" w:after="0" w:line="240" w:lineRule="auto"/>
              <w:ind w:right="215"/>
              <w:jc w:val="center"/>
              <w:rPr>
                <w:rFonts w:ascii="Arial" w:eastAsia="Arial" w:hAnsi="Arial" w:cs="Arial"/>
              </w:rPr>
            </w:pPr>
            <w:r w:rsidRPr="00155F52">
              <w:rPr>
                <w:rFonts w:ascii="Arial" w:eastAsia="Arial" w:hAnsi="Arial" w:cs="Arial"/>
              </w:rPr>
              <w:t>AAA</w:t>
            </w:r>
          </w:p>
        </w:tc>
        <w:tc>
          <w:tcPr>
            <w:tcW w:w="1114" w:type="dxa"/>
            <w:vMerge w:val="restart"/>
            <w:tcBorders>
              <w:right w:val="nil"/>
            </w:tcBorders>
            <w:shd w:val="clear" w:color="auto" w:fill="F0E68C"/>
          </w:tcPr>
          <w:p w14:paraId="6F27D65C"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665782D4"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4642DF26" w14:textId="77777777" w:rsidR="00155F52" w:rsidRPr="00155F52" w:rsidRDefault="00155F52" w:rsidP="00155F52">
            <w:pPr>
              <w:widowControl w:val="0"/>
              <w:autoSpaceDE w:val="0"/>
              <w:autoSpaceDN w:val="0"/>
              <w:spacing w:before="10" w:after="0" w:line="240" w:lineRule="auto"/>
              <w:rPr>
                <w:rFonts w:ascii="Arial" w:eastAsia="Arial" w:hAnsi="Arial" w:cs="Arial"/>
                <w:b/>
                <w:sz w:val="21"/>
              </w:rPr>
            </w:pPr>
          </w:p>
          <w:p w14:paraId="0E77905F" w14:textId="77777777" w:rsidR="00155F52" w:rsidRPr="00155F52" w:rsidRDefault="00155F52" w:rsidP="00155F52">
            <w:pPr>
              <w:widowControl w:val="0"/>
              <w:autoSpaceDE w:val="0"/>
              <w:autoSpaceDN w:val="0"/>
              <w:spacing w:before="1" w:after="0" w:line="240" w:lineRule="auto"/>
              <w:rPr>
                <w:rFonts w:ascii="Arial" w:eastAsia="Arial" w:hAnsi="Arial" w:cs="Arial"/>
              </w:rPr>
            </w:pPr>
            <w:r w:rsidRPr="00155F52">
              <w:rPr>
                <w:rFonts w:ascii="Arial" w:eastAsia="Arial" w:hAnsi="Arial" w:cs="Arial"/>
              </w:rPr>
              <w:t>A-1+</w:t>
            </w:r>
          </w:p>
        </w:tc>
        <w:tc>
          <w:tcPr>
            <w:tcW w:w="1078" w:type="dxa"/>
            <w:tcBorders>
              <w:left w:val="nil"/>
            </w:tcBorders>
            <w:shd w:val="clear" w:color="auto" w:fill="1E90FF"/>
          </w:tcPr>
          <w:p w14:paraId="1BEA3EA4" w14:textId="77777777" w:rsidR="00155F52" w:rsidRPr="00155F52" w:rsidRDefault="00155F52" w:rsidP="00155F52">
            <w:pPr>
              <w:widowControl w:val="0"/>
              <w:autoSpaceDE w:val="0"/>
              <w:autoSpaceDN w:val="0"/>
              <w:spacing w:before="5" w:after="0" w:line="240" w:lineRule="auto"/>
              <w:rPr>
                <w:rFonts w:ascii="Arial" w:eastAsia="Arial" w:hAnsi="Arial" w:cs="Arial"/>
              </w:rPr>
            </w:pPr>
            <w:r w:rsidRPr="00155F52">
              <w:rPr>
                <w:rFonts w:ascii="Arial" w:eastAsia="Arial" w:hAnsi="Arial" w:cs="Arial"/>
              </w:rPr>
              <w:t>AAA</w:t>
            </w:r>
          </w:p>
        </w:tc>
        <w:tc>
          <w:tcPr>
            <w:tcW w:w="1114" w:type="dxa"/>
            <w:vMerge w:val="restart"/>
            <w:tcBorders>
              <w:right w:val="nil"/>
            </w:tcBorders>
            <w:shd w:val="clear" w:color="auto" w:fill="AFEEEE"/>
          </w:tcPr>
          <w:p w14:paraId="0471E0EA"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1FCE217D"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41E77FE4" w14:textId="77777777" w:rsidR="00155F52" w:rsidRPr="00155F52" w:rsidRDefault="00155F52" w:rsidP="00155F52">
            <w:pPr>
              <w:widowControl w:val="0"/>
              <w:autoSpaceDE w:val="0"/>
              <w:autoSpaceDN w:val="0"/>
              <w:spacing w:before="10" w:after="0" w:line="240" w:lineRule="auto"/>
              <w:rPr>
                <w:rFonts w:ascii="Arial" w:eastAsia="Arial" w:hAnsi="Arial" w:cs="Arial"/>
                <w:b/>
                <w:sz w:val="21"/>
              </w:rPr>
            </w:pPr>
          </w:p>
          <w:p w14:paraId="6922329B" w14:textId="77777777" w:rsidR="00155F52" w:rsidRPr="00155F52" w:rsidRDefault="00155F52" w:rsidP="00155F52">
            <w:pPr>
              <w:widowControl w:val="0"/>
              <w:autoSpaceDE w:val="0"/>
              <w:autoSpaceDN w:val="0"/>
              <w:spacing w:before="1" w:after="0" w:line="240" w:lineRule="auto"/>
              <w:rPr>
                <w:rFonts w:ascii="Arial" w:eastAsia="Arial" w:hAnsi="Arial" w:cs="Arial"/>
              </w:rPr>
            </w:pPr>
            <w:r w:rsidRPr="00155F52">
              <w:rPr>
                <w:rFonts w:ascii="Arial" w:eastAsia="Arial" w:hAnsi="Arial" w:cs="Arial"/>
              </w:rPr>
              <w:t>F1+</w:t>
            </w:r>
          </w:p>
        </w:tc>
        <w:tc>
          <w:tcPr>
            <w:tcW w:w="2051" w:type="dxa"/>
            <w:tcBorders>
              <w:left w:val="nil"/>
              <w:right w:val="nil"/>
            </w:tcBorders>
            <w:shd w:val="clear" w:color="auto" w:fill="D2B48C"/>
          </w:tcPr>
          <w:p w14:paraId="5FFC49E9" w14:textId="77777777" w:rsidR="00155F52" w:rsidRPr="00155F52" w:rsidRDefault="00155F52" w:rsidP="00155F52">
            <w:pPr>
              <w:widowControl w:val="0"/>
              <w:autoSpaceDE w:val="0"/>
              <w:autoSpaceDN w:val="0"/>
              <w:spacing w:before="5" w:after="0" w:line="240" w:lineRule="auto"/>
              <w:ind w:right="221"/>
              <w:jc w:val="center"/>
              <w:rPr>
                <w:rFonts w:ascii="Arial" w:eastAsia="Arial" w:hAnsi="Arial" w:cs="Arial"/>
              </w:rPr>
            </w:pPr>
            <w:r w:rsidRPr="00155F52">
              <w:rPr>
                <w:rFonts w:ascii="Arial" w:eastAsia="Arial" w:hAnsi="Arial" w:cs="Arial"/>
              </w:rPr>
              <w:t>Prime</w:t>
            </w:r>
          </w:p>
        </w:tc>
      </w:tr>
      <w:tr w:rsidR="00155F52" w:rsidRPr="00155F52" w14:paraId="1B186E29" w14:textId="77777777" w:rsidTr="00D92596">
        <w:trPr>
          <w:trHeight w:val="487"/>
          <w:tblCellSpacing w:w="14" w:type="dxa"/>
        </w:trPr>
        <w:tc>
          <w:tcPr>
            <w:tcW w:w="1063" w:type="dxa"/>
            <w:tcBorders>
              <w:left w:val="nil"/>
              <w:right w:val="nil"/>
            </w:tcBorders>
            <w:shd w:val="clear" w:color="auto" w:fill="F08080"/>
          </w:tcPr>
          <w:p w14:paraId="2A4C578C" w14:textId="77777777" w:rsidR="00155F52" w:rsidRPr="00155F52" w:rsidRDefault="00155F52" w:rsidP="00155F52">
            <w:pPr>
              <w:widowControl w:val="0"/>
              <w:autoSpaceDE w:val="0"/>
              <w:autoSpaceDN w:val="0"/>
              <w:spacing w:before="5" w:after="0" w:line="240" w:lineRule="auto"/>
              <w:ind w:right="325"/>
              <w:jc w:val="right"/>
              <w:rPr>
                <w:rFonts w:ascii="Arial" w:eastAsia="Arial" w:hAnsi="Arial" w:cs="Arial"/>
              </w:rPr>
            </w:pPr>
            <w:r w:rsidRPr="00155F52">
              <w:rPr>
                <w:rFonts w:ascii="Arial" w:eastAsia="Arial" w:hAnsi="Arial" w:cs="Arial"/>
              </w:rPr>
              <w:t>Aa1</w:t>
            </w:r>
          </w:p>
        </w:tc>
        <w:tc>
          <w:tcPr>
            <w:tcW w:w="1113" w:type="dxa"/>
            <w:vMerge/>
            <w:tcBorders>
              <w:top w:val="nil"/>
              <w:left w:val="nil"/>
              <w:right w:val="nil"/>
            </w:tcBorders>
            <w:shd w:val="clear" w:color="auto" w:fill="FFC0CB"/>
          </w:tcPr>
          <w:p w14:paraId="4DC75253"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6" w:type="dxa"/>
            <w:tcBorders>
              <w:left w:val="nil"/>
            </w:tcBorders>
            <w:shd w:val="clear" w:color="auto" w:fill="FFFF00"/>
          </w:tcPr>
          <w:p w14:paraId="72AE2A64" w14:textId="77777777" w:rsidR="00155F52" w:rsidRPr="00155F52" w:rsidRDefault="00155F52" w:rsidP="00155F52">
            <w:pPr>
              <w:widowControl w:val="0"/>
              <w:autoSpaceDE w:val="0"/>
              <w:autoSpaceDN w:val="0"/>
              <w:spacing w:before="5" w:after="0" w:line="240" w:lineRule="auto"/>
              <w:ind w:right="214"/>
              <w:jc w:val="center"/>
              <w:rPr>
                <w:rFonts w:ascii="Arial" w:eastAsia="Arial" w:hAnsi="Arial" w:cs="Arial"/>
              </w:rPr>
            </w:pPr>
            <w:r w:rsidRPr="00155F52">
              <w:rPr>
                <w:rFonts w:ascii="Arial" w:eastAsia="Arial" w:hAnsi="Arial" w:cs="Arial"/>
              </w:rPr>
              <w:t>AA+</w:t>
            </w:r>
          </w:p>
        </w:tc>
        <w:tc>
          <w:tcPr>
            <w:tcW w:w="1114" w:type="dxa"/>
            <w:vMerge/>
            <w:tcBorders>
              <w:top w:val="nil"/>
              <w:right w:val="nil"/>
            </w:tcBorders>
            <w:shd w:val="clear" w:color="auto" w:fill="F0E68C"/>
          </w:tcPr>
          <w:p w14:paraId="1E9D4247"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8" w:type="dxa"/>
            <w:tcBorders>
              <w:left w:val="nil"/>
            </w:tcBorders>
            <w:shd w:val="clear" w:color="auto" w:fill="1E90FF"/>
          </w:tcPr>
          <w:p w14:paraId="120472B1" w14:textId="77777777" w:rsidR="00155F52" w:rsidRPr="00155F52" w:rsidRDefault="00155F52" w:rsidP="00155F52">
            <w:pPr>
              <w:widowControl w:val="0"/>
              <w:autoSpaceDE w:val="0"/>
              <w:autoSpaceDN w:val="0"/>
              <w:spacing w:before="5" w:after="0" w:line="240" w:lineRule="auto"/>
              <w:rPr>
                <w:rFonts w:ascii="Arial" w:eastAsia="Arial" w:hAnsi="Arial" w:cs="Arial"/>
              </w:rPr>
            </w:pPr>
            <w:r w:rsidRPr="00155F52">
              <w:rPr>
                <w:rFonts w:ascii="Arial" w:eastAsia="Arial" w:hAnsi="Arial" w:cs="Arial"/>
              </w:rPr>
              <w:t>AA+</w:t>
            </w:r>
          </w:p>
        </w:tc>
        <w:tc>
          <w:tcPr>
            <w:tcW w:w="1114" w:type="dxa"/>
            <w:vMerge/>
            <w:tcBorders>
              <w:top w:val="nil"/>
              <w:right w:val="nil"/>
            </w:tcBorders>
            <w:shd w:val="clear" w:color="auto" w:fill="AFEEEE"/>
          </w:tcPr>
          <w:p w14:paraId="4FB09C0F"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2051" w:type="dxa"/>
            <w:vMerge w:val="restart"/>
            <w:tcBorders>
              <w:left w:val="nil"/>
              <w:right w:val="nil"/>
            </w:tcBorders>
            <w:shd w:val="clear" w:color="auto" w:fill="D2B48C"/>
          </w:tcPr>
          <w:p w14:paraId="455FC849"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06937463" w14:textId="77777777" w:rsidR="00155F52" w:rsidRPr="00155F52" w:rsidRDefault="00155F52" w:rsidP="00155F52">
            <w:pPr>
              <w:widowControl w:val="0"/>
              <w:autoSpaceDE w:val="0"/>
              <w:autoSpaceDN w:val="0"/>
              <w:spacing w:before="8" w:after="0" w:line="240" w:lineRule="auto"/>
              <w:rPr>
                <w:rFonts w:ascii="Arial" w:eastAsia="Arial" w:hAnsi="Arial" w:cs="Arial"/>
                <w:b/>
              </w:rPr>
            </w:pPr>
          </w:p>
          <w:p w14:paraId="61E4A19A" w14:textId="77777777" w:rsidR="00155F52" w:rsidRPr="00155F52" w:rsidRDefault="00155F52" w:rsidP="00155F52">
            <w:pPr>
              <w:widowControl w:val="0"/>
              <w:autoSpaceDE w:val="0"/>
              <w:autoSpaceDN w:val="0"/>
              <w:spacing w:before="1" w:after="0" w:line="240" w:lineRule="auto"/>
              <w:rPr>
                <w:rFonts w:ascii="Arial" w:eastAsia="Arial" w:hAnsi="Arial" w:cs="Arial"/>
              </w:rPr>
            </w:pPr>
            <w:r w:rsidRPr="00155F52">
              <w:rPr>
                <w:rFonts w:ascii="Arial" w:eastAsia="Arial" w:hAnsi="Arial" w:cs="Arial"/>
              </w:rPr>
              <w:t>High</w:t>
            </w:r>
            <w:r w:rsidRPr="00155F52">
              <w:rPr>
                <w:rFonts w:ascii="Arial" w:eastAsia="Arial" w:hAnsi="Arial" w:cs="Arial"/>
                <w:spacing w:val="-3"/>
              </w:rPr>
              <w:t xml:space="preserve"> </w:t>
            </w:r>
            <w:r w:rsidRPr="00155F52">
              <w:rPr>
                <w:rFonts w:ascii="Arial" w:eastAsia="Arial" w:hAnsi="Arial" w:cs="Arial"/>
              </w:rPr>
              <w:t>grade</w:t>
            </w:r>
          </w:p>
        </w:tc>
      </w:tr>
      <w:tr w:rsidR="00155F52" w:rsidRPr="00155F52" w14:paraId="51B4E9D0" w14:textId="77777777" w:rsidTr="00D92596">
        <w:trPr>
          <w:trHeight w:val="487"/>
          <w:tblCellSpacing w:w="14" w:type="dxa"/>
        </w:trPr>
        <w:tc>
          <w:tcPr>
            <w:tcW w:w="1063" w:type="dxa"/>
            <w:tcBorders>
              <w:left w:val="nil"/>
              <w:right w:val="nil"/>
            </w:tcBorders>
            <w:shd w:val="clear" w:color="auto" w:fill="F08080"/>
          </w:tcPr>
          <w:p w14:paraId="1346CCE0" w14:textId="77777777" w:rsidR="00155F52" w:rsidRPr="00155F52" w:rsidRDefault="00155F52" w:rsidP="00155F52">
            <w:pPr>
              <w:widowControl w:val="0"/>
              <w:autoSpaceDE w:val="0"/>
              <w:autoSpaceDN w:val="0"/>
              <w:spacing w:before="5" w:after="0" w:line="240" w:lineRule="auto"/>
              <w:ind w:right="325"/>
              <w:jc w:val="right"/>
              <w:rPr>
                <w:rFonts w:ascii="Arial" w:eastAsia="Arial" w:hAnsi="Arial" w:cs="Arial"/>
              </w:rPr>
            </w:pPr>
            <w:r w:rsidRPr="00155F52">
              <w:rPr>
                <w:rFonts w:ascii="Arial" w:eastAsia="Arial" w:hAnsi="Arial" w:cs="Arial"/>
              </w:rPr>
              <w:t>Aa2</w:t>
            </w:r>
          </w:p>
        </w:tc>
        <w:tc>
          <w:tcPr>
            <w:tcW w:w="1113" w:type="dxa"/>
            <w:vMerge/>
            <w:tcBorders>
              <w:top w:val="nil"/>
              <w:left w:val="nil"/>
              <w:right w:val="nil"/>
            </w:tcBorders>
            <w:shd w:val="clear" w:color="auto" w:fill="FFC0CB"/>
          </w:tcPr>
          <w:p w14:paraId="1E2E66C6"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6" w:type="dxa"/>
            <w:tcBorders>
              <w:left w:val="nil"/>
            </w:tcBorders>
            <w:shd w:val="clear" w:color="auto" w:fill="FFFF00"/>
          </w:tcPr>
          <w:p w14:paraId="752972A6" w14:textId="77777777" w:rsidR="00155F52" w:rsidRPr="00155F52" w:rsidRDefault="00155F52" w:rsidP="00155F52">
            <w:pPr>
              <w:widowControl w:val="0"/>
              <w:autoSpaceDE w:val="0"/>
              <w:autoSpaceDN w:val="0"/>
              <w:spacing w:before="5" w:after="0" w:line="240" w:lineRule="auto"/>
              <w:ind w:right="214"/>
              <w:jc w:val="center"/>
              <w:rPr>
                <w:rFonts w:ascii="Arial" w:eastAsia="Arial" w:hAnsi="Arial" w:cs="Arial"/>
              </w:rPr>
            </w:pPr>
            <w:r w:rsidRPr="00155F52">
              <w:rPr>
                <w:rFonts w:ascii="Arial" w:eastAsia="Arial" w:hAnsi="Arial" w:cs="Arial"/>
              </w:rPr>
              <w:t>AA</w:t>
            </w:r>
          </w:p>
        </w:tc>
        <w:tc>
          <w:tcPr>
            <w:tcW w:w="1114" w:type="dxa"/>
            <w:vMerge/>
            <w:tcBorders>
              <w:top w:val="nil"/>
              <w:right w:val="nil"/>
            </w:tcBorders>
            <w:shd w:val="clear" w:color="auto" w:fill="F0E68C"/>
          </w:tcPr>
          <w:p w14:paraId="52203766"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8" w:type="dxa"/>
            <w:tcBorders>
              <w:left w:val="nil"/>
            </w:tcBorders>
            <w:shd w:val="clear" w:color="auto" w:fill="1E90FF"/>
          </w:tcPr>
          <w:p w14:paraId="38FA2FE1" w14:textId="77777777" w:rsidR="00155F52" w:rsidRPr="00155F52" w:rsidRDefault="00155F52" w:rsidP="00155F52">
            <w:pPr>
              <w:widowControl w:val="0"/>
              <w:autoSpaceDE w:val="0"/>
              <w:autoSpaceDN w:val="0"/>
              <w:spacing w:before="5" w:after="0" w:line="240" w:lineRule="auto"/>
              <w:ind w:right="369"/>
              <w:jc w:val="center"/>
              <w:rPr>
                <w:rFonts w:ascii="Arial" w:eastAsia="Arial" w:hAnsi="Arial" w:cs="Arial"/>
              </w:rPr>
            </w:pPr>
            <w:r w:rsidRPr="00155F52">
              <w:rPr>
                <w:rFonts w:ascii="Arial" w:eastAsia="Arial" w:hAnsi="Arial" w:cs="Arial"/>
              </w:rPr>
              <w:t>AA</w:t>
            </w:r>
          </w:p>
        </w:tc>
        <w:tc>
          <w:tcPr>
            <w:tcW w:w="1114" w:type="dxa"/>
            <w:vMerge/>
            <w:tcBorders>
              <w:top w:val="nil"/>
              <w:right w:val="nil"/>
            </w:tcBorders>
            <w:shd w:val="clear" w:color="auto" w:fill="AFEEEE"/>
          </w:tcPr>
          <w:p w14:paraId="710B8CD3"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2051" w:type="dxa"/>
            <w:vMerge/>
            <w:tcBorders>
              <w:top w:val="nil"/>
              <w:left w:val="nil"/>
              <w:right w:val="nil"/>
            </w:tcBorders>
            <w:shd w:val="clear" w:color="auto" w:fill="D2B48C"/>
          </w:tcPr>
          <w:p w14:paraId="63265C6F"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r>
      <w:tr w:rsidR="00155F52" w:rsidRPr="00155F52" w14:paraId="5949F664" w14:textId="77777777" w:rsidTr="00D92596">
        <w:trPr>
          <w:trHeight w:val="487"/>
          <w:tblCellSpacing w:w="14" w:type="dxa"/>
        </w:trPr>
        <w:tc>
          <w:tcPr>
            <w:tcW w:w="1063" w:type="dxa"/>
            <w:tcBorders>
              <w:left w:val="nil"/>
              <w:right w:val="nil"/>
            </w:tcBorders>
            <w:shd w:val="clear" w:color="auto" w:fill="F08080"/>
          </w:tcPr>
          <w:p w14:paraId="247AA216" w14:textId="77777777" w:rsidR="00155F52" w:rsidRPr="00155F52" w:rsidRDefault="00155F52" w:rsidP="00155F52">
            <w:pPr>
              <w:widowControl w:val="0"/>
              <w:autoSpaceDE w:val="0"/>
              <w:autoSpaceDN w:val="0"/>
              <w:spacing w:before="5" w:after="0" w:line="240" w:lineRule="auto"/>
              <w:ind w:right="325"/>
              <w:jc w:val="right"/>
              <w:rPr>
                <w:rFonts w:ascii="Arial" w:eastAsia="Arial" w:hAnsi="Arial" w:cs="Arial"/>
              </w:rPr>
            </w:pPr>
            <w:r w:rsidRPr="00155F52">
              <w:rPr>
                <w:rFonts w:ascii="Arial" w:eastAsia="Arial" w:hAnsi="Arial" w:cs="Arial"/>
              </w:rPr>
              <w:t>Aa3</w:t>
            </w:r>
          </w:p>
        </w:tc>
        <w:tc>
          <w:tcPr>
            <w:tcW w:w="1113" w:type="dxa"/>
            <w:vMerge/>
            <w:tcBorders>
              <w:top w:val="nil"/>
              <w:left w:val="nil"/>
              <w:right w:val="nil"/>
            </w:tcBorders>
            <w:shd w:val="clear" w:color="auto" w:fill="FFC0CB"/>
          </w:tcPr>
          <w:p w14:paraId="0FA8F173"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6" w:type="dxa"/>
            <w:tcBorders>
              <w:left w:val="nil"/>
            </w:tcBorders>
            <w:shd w:val="clear" w:color="auto" w:fill="FFFF00"/>
          </w:tcPr>
          <w:p w14:paraId="5F4378E1" w14:textId="77777777" w:rsidR="00155F52" w:rsidRPr="00155F52" w:rsidRDefault="00155F52" w:rsidP="00155F52">
            <w:pPr>
              <w:widowControl w:val="0"/>
              <w:autoSpaceDE w:val="0"/>
              <w:autoSpaceDN w:val="0"/>
              <w:spacing w:before="5" w:after="0" w:line="240" w:lineRule="auto"/>
              <w:ind w:right="214"/>
              <w:jc w:val="center"/>
              <w:rPr>
                <w:rFonts w:ascii="Arial" w:eastAsia="Arial" w:hAnsi="Arial" w:cs="Arial"/>
              </w:rPr>
            </w:pPr>
            <w:r w:rsidRPr="00155F52">
              <w:rPr>
                <w:rFonts w:ascii="Arial" w:eastAsia="Arial" w:hAnsi="Arial" w:cs="Arial"/>
              </w:rPr>
              <w:t>AA-</w:t>
            </w:r>
          </w:p>
        </w:tc>
        <w:tc>
          <w:tcPr>
            <w:tcW w:w="1114" w:type="dxa"/>
            <w:vMerge/>
            <w:tcBorders>
              <w:top w:val="nil"/>
              <w:right w:val="nil"/>
            </w:tcBorders>
            <w:shd w:val="clear" w:color="auto" w:fill="F0E68C"/>
          </w:tcPr>
          <w:p w14:paraId="3A81411B"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8" w:type="dxa"/>
            <w:tcBorders>
              <w:left w:val="nil"/>
            </w:tcBorders>
            <w:shd w:val="clear" w:color="auto" w:fill="1E90FF"/>
          </w:tcPr>
          <w:p w14:paraId="0BAB7BD5" w14:textId="77777777" w:rsidR="00155F52" w:rsidRPr="00155F52" w:rsidRDefault="00155F52" w:rsidP="00155F52">
            <w:pPr>
              <w:widowControl w:val="0"/>
              <w:autoSpaceDE w:val="0"/>
              <w:autoSpaceDN w:val="0"/>
              <w:spacing w:before="5" w:after="0" w:line="240" w:lineRule="auto"/>
              <w:rPr>
                <w:rFonts w:ascii="Arial" w:eastAsia="Arial" w:hAnsi="Arial" w:cs="Arial"/>
              </w:rPr>
            </w:pPr>
            <w:r w:rsidRPr="00155F52">
              <w:rPr>
                <w:rFonts w:ascii="Arial" w:eastAsia="Arial" w:hAnsi="Arial" w:cs="Arial"/>
              </w:rPr>
              <w:t>AA-</w:t>
            </w:r>
          </w:p>
        </w:tc>
        <w:tc>
          <w:tcPr>
            <w:tcW w:w="1114" w:type="dxa"/>
            <w:vMerge/>
            <w:tcBorders>
              <w:top w:val="nil"/>
              <w:right w:val="nil"/>
            </w:tcBorders>
            <w:shd w:val="clear" w:color="auto" w:fill="AFEEEE"/>
          </w:tcPr>
          <w:p w14:paraId="4CBA57BF"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2051" w:type="dxa"/>
            <w:vMerge/>
            <w:tcBorders>
              <w:top w:val="nil"/>
              <w:left w:val="nil"/>
              <w:right w:val="nil"/>
            </w:tcBorders>
            <w:shd w:val="clear" w:color="auto" w:fill="D2B48C"/>
          </w:tcPr>
          <w:p w14:paraId="23C50B29"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r>
      <w:tr w:rsidR="00155F52" w:rsidRPr="00155F52" w14:paraId="0D0C126F" w14:textId="77777777" w:rsidTr="00D92596">
        <w:trPr>
          <w:trHeight w:val="487"/>
          <w:tblCellSpacing w:w="14" w:type="dxa"/>
        </w:trPr>
        <w:tc>
          <w:tcPr>
            <w:tcW w:w="1063" w:type="dxa"/>
            <w:tcBorders>
              <w:left w:val="nil"/>
              <w:right w:val="nil"/>
            </w:tcBorders>
            <w:shd w:val="clear" w:color="auto" w:fill="F08080"/>
          </w:tcPr>
          <w:p w14:paraId="057E33A6" w14:textId="77777777" w:rsidR="00155F52" w:rsidRPr="00155F52" w:rsidRDefault="00155F52" w:rsidP="00155F52">
            <w:pPr>
              <w:widowControl w:val="0"/>
              <w:autoSpaceDE w:val="0"/>
              <w:autoSpaceDN w:val="0"/>
              <w:spacing w:before="5" w:after="0" w:line="240" w:lineRule="auto"/>
              <w:ind w:right="381"/>
              <w:jc w:val="center"/>
              <w:rPr>
                <w:rFonts w:ascii="Arial" w:eastAsia="Arial" w:hAnsi="Arial" w:cs="Arial"/>
              </w:rPr>
            </w:pPr>
            <w:r w:rsidRPr="00155F52">
              <w:rPr>
                <w:rFonts w:ascii="Arial" w:eastAsia="Arial" w:hAnsi="Arial" w:cs="Arial"/>
              </w:rPr>
              <w:t>A1</w:t>
            </w:r>
          </w:p>
        </w:tc>
        <w:tc>
          <w:tcPr>
            <w:tcW w:w="1113" w:type="dxa"/>
            <w:vMerge/>
            <w:tcBorders>
              <w:top w:val="nil"/>
              <w:left w:val="nil"/>
              <w:right w:val="nil"/>
            </w:tcBorders>
            <w:shd w:val="clear" w:color="auto" w:fill="FFC0CB"/>
          </w:tcPr>
          <w:p w14:paraId="55900832"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6" w:type="dxa"/>
            <w:tcBorders>
              <w:left w:val="nil"/>
            </w:tcBorders>
            <w:shd w:val="clear" w:color="auto" w:fill="FFFF00"/>
          </w:tcPr>
          <w:p w14:paraId="11975C67" w14:textId="77777777" w:rsidR="00155F52" w:rsidRPr="00155F52" w:rsidRDefault="00155F52" w:rsidP="00155F52">
            <w:pPr>
              <w:widowControl w:val="0"/>
              <w:autoSpaceDE w:val="0"/>
              <w:autoSpaceDN w:val="0"/>
              <w:spacing w:before="5" w:after="0" w:line="240" w:lineRule="auto"/>
              <w:ind w:right="215"/>
              <w:jc w:val="center"/>
              <w:rPr>
                <w:rFonts w:ascii="Arial" w:eastAsia="Arial" w:hAnsi="Arial" w:cs="Arial"/>
              </w:rPr>
            </w:pPr>
            <w:r w:rsidRPr="00155F52">
              <w:rPr>
                <w:rFonts w:ascii="Arial" w:eastAsia="Arial" w:hAnsi="Arial" w:cs="Arial"/>
              </w:rPr>
              <w:t>A+</w:t>
            </w:r>
          </w:p>
        </w:tc>
        <w:tc>
          <w:tcPr>
            <w:tcW w:w="1114" w:type="dxa"/>
            <w:vMerge w:val="restart"/>
            <w:tcBorders>
              <w:right w:val="nil"/>
            </w:tcBorders>
            <w:shd w:val="clear" w:color="auto" w:fill="F0E68C"/>
          </w:tcPr>
          <w:p w14:paraId="76C0A705" w14:textId="77777777" w:rsidR="00155F52" w:rsidRPr="00155F52" w:rsidRDefault="00155F52" w:rsidP="00155F52">
            <w:pPr>
              <w:widowControl w:val="0"/>
              <w:autoSpaceDE w:val="0"/>
              <w:autoSpaceDN w:val="0"/>
              <w:spacing w:before="7" w:after="0" w:line="240" w:lineRule="auto"/>
              <w:rPr>
                <w:rFonts w:ascii="Arial" w:eastAsia="Arial" w:hAnsi="Arial" w:cs="Arial"/>
                <w:b/>
                <w:sz w:val="23"/>
              </w:rPr>
            </w:pPr>
          </w:p>
          <w:p w14:paraId="57D44F38" w14:textId="77777777" w:rsidR="00155F52" w:rsidRPr="00155F52" w:rsidRDefault="00155F52" w:rsidP="00155F52">
            <w:pPr>
              <w:widowControl w:val="0"/>
              <w:autoSpaceDE w:val="0"/>
              <w:autoSpaceDN w:val="0"/>
              <w:spacing w:after="0" w:line="240" w:lineRule="auto"/>
              <w:ind w:right="364"/>
              <w:jc w:val="center"/>
              <w:rPr>
                <w:rFonts w:ascii="Arial" w:eastAsia="Arial" w:hAnsi="Arial" w:cs="Arial"/>
              </w:rPr>
            </w:pPr>
            <w:r w:rsidRPr="00155F52">
              <w:rPr>
                <w:rFonts w:ascii="Arial" w:eastAsia="Arial" w:hAnsi="Arial" w:cs="Arial"/>
              </w:rPr>
              <w:t>A-1</w:t>
            </w:r>
          </w:p>
        </w:tc>
        <w:tc>
          <w:tcPr>
            <w:tcW w:w="1078" w:type="dxa"/>
            <w:tcBorders>
              <w:left w:val="nil"/>
            </w:tcBorders>
            <w:shd w:val="clear" w:color="auto" w:fill="1E90FF"/>
          </w:tcPr>
          <w:p w14:paraId="06F00079" w14:textId="77777777" w:rsidR="00155F52" w:rsidRPr="00155F52" w:rsidRDefault="00155F52" w:rsidP="00155F52">
            <w:pPr>
              <w:widowControl w:val="0"/>
              <w:autoSpaceDE w:val="0"/>
              <w:autoSpaceDN w:val="0"/>
              <w:spacing w:before="5" w:after="0" w:line="240" w:lineRule="auto"/>
              <w:ind w:right="369"/>
              <w:jc w:val="center"/>
              <w:rPr>
                <w:rFonts w:ascii="Arial" w:eastAsia="Arial" w:hAnsi="Arial" w:cs="Arial"/>
              </w:rPr>
            </w:pPr>
            <w:r w:rsidRPr="00155F52">
              <w:rPr>
                <w:rFonts w:ascii="Arial" w:eastAsia="Arial" w:hAnsi="Arial" w:cs="Arial"/>
              </w:rPr>
              <w:t>A+</w:t>
            </w:r>
          </w:p>
        </w:tc>
        <w:tc>
          <w:tcPr>
            <w:tcW w:w="1114" w:type="dxa"/>
            <w:vMerge w:val="restart"/>
            <w:tcBorders>
              <w:right w:val="nil"/>
            </w:tcBorders>
            <w:shd w:val="clear" w:color="auto" w:fill="AFEEEE"/>
          </w:tcPr>
          <w:p w14:paraId="404ECF5D" w14:textId="77777777" w:rsidR="00155F52" w:rsidRPr="00155F52" w:rsidRDefault="00155F52" w:rsidP="00155F52">
            <w:pPr>
              <w:widowControl w:val="0"/>
              <w:autoSpaceDE w:val="0"/>
              <w:autoSpaceDN w:val="0"/>
              <w:spacing w:before="7" w:after="0" w:line="240" w:lineRule="auto"/>
              <w:rPr>
                <w:rFonts w:ascii="Arial" w:eastAsia="Arial" w:hAnsi="Arial" w:cs="Arial"/>
                <w:b/>
                <w:sz w:val="23"/>
              </w:rPr>
            </w:pPr>
          </w:p>
          <w:p w14:paraId="2A75FF79" w14:textId="77777777" w:rsidR="00155F52" w:rsidRPr="00155F52" w:rsidRDefault="00155F52" w:rsidP="00155F52">
            <w:pPr>
              <w:widowControl w:val="0"/>
              <w:autoSpaceDE w:val="0"/>
              <w:autoSpaceDN w:val="0"/>
              <w:spacing w:after="0" w:line="240" w:lineRule="auto"/>
              <w:ind w:right="406"/>
              <w:jc w:val="center"/>
              <w:rPr>
                <w:rFonts w:ascii="Arial" w:eastAsia="Arial" w:hAnsi="Arial" w:cs="Arial"/>
              </w:rPr>
            </w:pPr>
            <w:r w:rsidRPr="00155F52">
              <w:rPr>
                <w:rFonts w:ascii="Arial" w:eastAsia="Arial" w:hAnsi="Arial" w:cs="Arial"/>
              </w:rPr>
              <w:t>F1</w:t>
            </w:r>
          </w:p>
        </w:tc>
        <w:tc>
          <w:tcPr>
            <w:tcW w:w="2051" w:type="dxa"/>
            <w:vMerge w:val="restart"/>
            <w:tcBorders>
              <w:left w:val="nil"/>
              <w:right w:val="nil"/>
            </w:tcBorders>
            <w:shd w:val="clear" w:color="auto" w:fill="D2B48C"/>
          </w:tcPr>
          <w:p w14:paraId="0BD692E3" w14:textId="77777777" w:rsidR="00155F52" w:rsidRPr="00155F52" w:rsidRDefault="00155F52" w:rsidP="00155F52">
            <w:pPr>
              <w:widowControl w:val="0"/>
              <w:autoSpaceDE w:val="0"/>
              <w:autoSpaceDN w:val="0"/>
              <w:spacing w:before="8" w:after="0" w:line="240" w:lineRule="auto"/>
              <w:rPr>
                <w:rFonts w:ascii="Arial" w:eastAsia="Arial" w:hAnsi="Arial" w:cs="Arial"/>
                <w:b/>
                <w:sz w:val="35"/>
              </w:rPr>
            </w:pPr>
          </w:p>
          <w:p w14:paraId="41CDBE58" w14:textId="77777777" w:rsidR="00155F52" w:rsidRPr="00155F52" w:rsidRDefault="00155F52" w:rsidP="00155F52">
            <w:pPr>
              <w:widowControl w:val="0"/>
              <w:autoSpaceDE w:val="0"/>
              <w:autoSpaceDN w:val="0"/>
              <w:spacing w:after="0" w:line="240" w:lineRule="auto"/>
              <w:rPr>
                <w:rFonts w:ascii="Arial" w:eastAsia="Arial" w:hAnsi="Arial" w:cs="Arial"/>
              </w:rPr>
            </w:pPr>
            <w:r w:rsidRPr="00155F52">
              <w:rPr>
                <w:rFonts w:ascii="Arial" w:eastAsia="Arial" w:hAnsi="Arial" w:cs="Arial"/>
              </w:rPr>
              <w:t>Upper medium</w:t>
            </w:r>
            <w:r w:rsidRPr="00155F52">
              <w:rPr>
                <w:rFonts w:ascii="Arial" w:eastAsia="Arial" w:hAnsi="Arial" w:cs="Arial"/>
                <w:spacing w:val="-59"/>
              </w:rPr>
              <w:t xml:space="preserve"> </w:t>
            </w:r>
            <w:r w:rsidRPr="00155F52">
              <w:rPr>
                <w:rFonts w:ascii="Arial" w:eastAsia="Arial" w:hAnsi="Arial" w:cs="Arial"/>
              </w:rPr>
              <w:t>grade</w:t>
            </w:r>
          </w:p>
        </w:tc>
      </w:tr>
      <w:tr w:rsidR="00155F52" w:rsidRPr="00155F52" w14:paraId="34A1D3FF" w14:textId="77777777" w:rsidTr="00D92596">
        <w:trPr>
          <w:trHeight w:val="487"/>
          <w:tblCellSpacing w:w="14" w:type="dxa"/>
        </w:trPr>
        <w:tc>
          <w:tcPr>
            <w:tcW w:w="1063" w:type="dxa"/>
            <w:tcBorders>
              <w:left w:val="nil"/>
              <w:right w:val="nil"/>
            </w:tcBorders>
            <w:shd w:val="clear" w:color="auto" w:fill="F08080"/>
          </w:tcPr>
          <w:p w14:paraId="232BE559" w14:textId="77777777" w:rsidR="00155F52" w:rsidRPr="00155F52" w:rsidRDefault="00155F52" w:rsidP="00155F52">
            <w:pPr>
              <w:widowControl w:val="0"/>
              <w:autoSpaceDE w:val="0"/>
              <w:autoSpaceDN w:val="0"/>
              <w:spacing w:before="5" w:after="0" w:line="240" w:lineRule="auto"/>
              <w:ind w:right="381"/>
              <w:jc w:val="center"/>
              <w:rPr>
                <w:rFonts w:ascii="Arial" w:eastAsia="Arial" w:hAnsi="Arial" w:cs="Arial"/>
              </w:rPr>
            </w:pPr>
            <w:r w:rsidRPr="00155F52">
              <w:rPr>
                <w:rFonts w:ascii="Arial" w:eastAsia="Arial" w:hAnsi="Arial" w:cs="Arial"/>
              </w:rPr>
              <w:t>A2</w:t>
            </w:r>
          </w:p>
        </w:tc>
        <w:tc>
          <w:tcPr>
            <w:tcW w:w="1113" w:type="dxa"/>
            <w:vMerge/>
            <w:tcBorders>
              <w:top w:val="nil"/>
              <w:left w:val="nil"/>
              <w:right w:val="nil"/>
            </w:tcBorders>
            <w:shd w:val="clear" w:color="auto" w:fill="FFC0CB"/>
          </w:tcPr>
          <w:p w14:paraId="660A4393"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6" w:type="dxa"/>
            <w:tcBorders>
              <w:left w:val="nil"/>
            </w:tcBorders>
            <w:shd w:val="clear" w:color="auto" w:fill="FFFF00"/>
          </w:tcPr>
          <w:p w14:paraId="32CF39BE" w14:textId="77777777" w:rsidR="00155F52" w:rsidRPr="00155F52" w:rsidRDefault="00155F52" w:rsidP="00155F52">
            <w:pPr>
              <w:widowControl w:val="0"/>
              <w:autoSpaceDE w:val="0"/>
              <w:autoSpaceDN w:val="0"/>
              <w:spacing w:before="5" w:after="0" w:line="240" w:lineRule="auto"/>
              <w:jc w:val="center"/>
              <w:rPr>
                <w:rFonts w:ascii="Arial" w:eastAsia="Arial" w:hAnsi="Arial" w:cs="Arial"/>
              </w:rPr>
            </w:pPr>
            <w:r w:rsidRPr="00155F52">
              <w:rPr>
                <w:rFonts w:ascii="Arial" w:eastAsia="Arial" w:hAnsi="Arial" w:cs="Arial"/>
              </w:rPr>
              <w:t>A</w:t>
            </w:r>
          </w:p>
        </w:tc>
        <w:tc>
          <w:tcPr>
            <w:tcW w:w="1114" w:type="dxa"/>
            <w:vMerge/>
            <w:tcBorders>
              <w:top w:val="nil"/>
              <w:right w:val="nil"/>
            </w:tcBorders>
            <w:shd w:val="clear" w:color="auto" w:fill="F0E68C"/>
          </w:tcPr>
          <w:p w14:paraId="52E6F19C"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8" w:type="dxa"/>
            <w:tcBorders>
              <w:left w:val="nil"/>
            </w:tcBorders>
            <w:shd w:val="clear" w:color="auto" w:fill="1E90FF"/>
          </w:tcPr>
          <w:p w14:paraId="00CFC15F" w14:textId="77777777" w:rsidR="00155F52" w:rsidRPr="00155F52" w:rsidRDefault="00155F52" w:rsidP="00155F52">
            <w:pPr>
              <w:widowControl w:val="0"/>
              <w:autoSpaceDE w:val="0"/>
              <w:autoSpaceDN w:val="0"/>
              <w:spacing w:before="5" w:after="0" w:line="240" w:lineRule="auto"/>
              <w:jc w:val="center"/>
              <w:rPr>
                <w:rFonts w:ascii="Arial" w:eastAsia="Arial" w:hAnsi="Arial" w:cs="Arial"/>
              </w:rPr>
            </w:pPr>
            <w:r w:rsidRPr="00155F52">
              <w:rPr>
                <w:rFonts w:ascii="Arial" w:eastAsia="Arial" w:hAnsi="Arial" w:cs="Arial"/>
              </w:rPr>
              <w:t>A</w:t>
            </w:r>
          </w:p>
        </w:tc>
        <w:tc>
          <w:tcPr>
            <w:tcW w:w="1114" w:type="dxa"/>
            <w:vMerge/>
            <w:tcBorders>
              <w:top w:val="nil"/>
              <w:right w:val="nil"/>
            </w:tcBorders>
            <w:shd w:val="clear" w:color="auto" w:fill="AFEEEE"/>
          </w:tcPr>
          <w:p w14:paraId="3D3A08DE"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2051" w:type="dxa"/>
            <w:vMerge/>
            <w:tcBorders>
              <w:top w:val="nil"/>
              <w:left w:val="nil"/>
              <w:right w:val="nil"/>
            </w:tcBorders>
            <w:shd w:val="clear" w:color="auto" w:fill="D2B48C"/>
          </w:tcPr>
          <w:p w14:paraId="7672FEB1"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r>
      <w:tr w:rsidR="00155F52" w:rsidRPr="00155F52" w14:paraId="12F6B078" w14:textId="77777777" w:rsidTr="00D92596">
        <w:trPr>
          <w:trHeight w:val="487"/>
          <w:tblCellSpacing w:w="14" w:type="dxa"/>
        </w:trPr>
        <w:tc>
          <w:tcPr>
            <w:tcW w:w="1063" w:type="dxa"/>
            <w:tcBorders>
              <w:left w:val="nil"/>
              <w:right w:val="nil"/>
            </w:tcBorders>
            <w:shd w:val="clear" w:color="auto" w:fill="F08080"/>
          </w:tcPr>
          <w:p w14:paraId="3F4EB5AE" w14:textId="77777777" w:rsidR="00155F52" w:rsidRPr="00155F52" w:rsidRDefault="00155F52" w:rsidP="00155F52">
            <w:pPr>
              <w:widowControl w:val="0"/>
              <w:autoSpaceDE w:val="0"/>
              <w:autoSpaceDN w:val="0"/>
              <w:spacing w:before="5" w:after="0" w:line="240" w:lineRule="auto"/>
              <w:ind w:right="381"/>
              <w:jc w:val="center"/>
              <w:rPr>
                <w:rFonts w:ascii="Arial" w:eastAsia="Arial" w:hAnsi="Arial" w:cs="Arial"/>
              </w:rPr>
            </w:pPr>
            <w:r w:rsidRPr="00155F52">
              <w:rPr>
                <w:rFonts w:ascii="Arial" w:eastAsia="Arial" w:hAnsi="Arial" w:cs="Arial"/>
              </w:rPr>
              <w:t>A3</w:t>
            </w:r>
          </w:p>
        </w:tc>
        <w:tc>
          <w:tcPr>
            <w:tcW w:w="1113" w:type="dxa"/>
            <w:vMerge w:val="restart"/>
            <w:tcBorders>
              <w:left w:val="nil"/>
              <w:right w:val="nil"/>
            </w:tcBorders>
            <w:shd w:val="clear" w:color="auto" w:fill="FFC0CB"/>
          </w:tcPr>
          <w:p w14:paraId="499C9819" w14:textId="77777777" w:rsidR="00155F52" w:rsidRPr="00155F52" w:rsidRDefault="00155F52" w:rsidP="00155F52">
            <w:pPr>
              <w:widowControl w:val="0"/>
              <w:autoSpaceDE w:val="0"/>
              <w:autoSpaceDN w:val="0"/>
              <w:spacing w:before="7" w:after="0" w:line="240" w:lineRule="auto"/>
              <w:rPr>
                <w:rFonts w:ascii="Arial" w:eastAsia="Arial" w:hAnsi="Arial" w:cs="Arial"/>
                <w:b/>
                <w:sz w:val="23"/>
              </w:rPr>
            </w:pPr>
          </w:p>
          <w:p w14:paraId="1783C04A" w14:textId="77777777" w:rsidR="00155F52" w:rsidRPr="00155F52" w:rsidRDefault="00155F52" w:rsidP="00155F52">
            <w:pPr>
              <w:widowControl w:val="0"/>
              <w:autoSpaceDE w:val="0"/>
              <w:autoSpaceDN w:val="0"/>
              <w:spacing w:after="0" w:line="240" w:lineRule="auto"/>
              <w:ind w:right="365"/>
              <w:jc w:val="center"/>
              <w:rPr>
                <w:rFonts w:ascii="Arial" w:eastAsia="Arial" w:hAnsi="Arial" w:cs="Arial"/>
              </w:rPr>
            </w:pPr>
            <w:r w:rsidRPr="00155F52">
              <w:rPr>
                <w:rFonts w:ascii="Arial" w:eastAsia="Arial" w:hAnsi="Arial" w:cs="Arial"/>
              </w:rPr>
              <w:t>P-2</w:t>
            </w:r>
          </w:p>
        </w:tc>
        <w:tc>
          <w:tcPr>
            <w:tcW w:w="1076" w:type="dxa"/>
            <w:tcBorders>
              <w:left w:val="nil"/>
            </w:tcBorders>
            <w:shd w:val="clear" w:color="auto" w:fill="FFFF00"/>
          </w:tcPr>
          <w:p w14:paraId="34749C1E" w14:textId="77777777" w:rsidR="00155F52" w:rsidRPr="00155F52" w:rsidRDefault="00155F52" w:rsidP="00155F52">
            <w:pPr>
              <w:widowControl w:val="0"/>
              <w:autoSpaceDE w:val="0"/>
              <w:autoSpaceDN w:val="0"/>
              <w:spacing w:before="5" w:after="0" w:line="240" w:lineRule="auto"/>
              <w:ind w:right="214"/>
              <w:jc w:val="center"/>
              <w:rPr>
                <w:rFonts w:ascii="Arial" w:eastAsia="Arial" w:hAnsi="Arial" w:cs="Arial"/>
              </w:rPr>
            </w:pPr>
            <w:r w:rsidRPr="00155F52">
              <w:rPr>
                <w:rFonts w:ascii="Arial" w:eastAsia="Arial" w:hAnsi="Arial" w:cs="Arial"/>
              </w:rPr>
              <w:t>A-</w:t>
            </w:r>
          </w:p>
        </w:tc>
        <w:tc>
          <w:tcPr>
            <w:tcW w:w="1114" w:type="dxa"/>
            <w:vMerge w:val="restart"/>
            <w:tcBorders>
              <w:right w:val="nil"/>
            </w:tcBorders>
            <w:shd w:val="clear" w:color="auto" w:fill="F0E68C"/>
          </w:tcPr>
          <w:p w14:paraId="7895FE71" w14:textId="77777777" w:rsidR="00155F52" w:rsidRPr="00155F52" w:rsidRDefault="00155F52" w:rsidP="00155F52">
            <w:pPr>
              <w:widowControl w:val="0"/>
              <w:autoSpaceDE w:val="0"/>
              <w:autoSpaceDN w:val="0"/>
              <w:spacing w:before="7" w:after="0" w:line="240" w:lineRule="auto"/>
              <w:rPr>
                <w:rFonts w:ascii="Arial" w:eastAsia="Arial" w:hAnsi="Arial" w:cs="Arial"/>
                <w:b/>
                <w:sz w:val="23"/>
              </w:rPr>
            </w:pPr>
          </w:p>
          <w:p w14:paraId="2D4F2332" w14:textId="77777777" w:rsidR="00155F52" w:rsidRPr="00155F52" w:rsidRDefault="00155F52" w:rsidP="00155F52">
            <w:pPr>
              <w:widowControl w:val="0"/>
              <w:autoSpaceDE w:val="0"/>
              <w:autoSpaceDN w:val="0"/>
              <w:spacing w:after="0" w:line="240" w:lineRule="auto"/>
              <w:ind w:right="364"/>
              <w:jc w:val="center"/>
              <w:rPr>
                <w:rFonts w:ascii="Arial" w:eastAsia="Arial" w:hAnsi="Arial" w:cs="Arial"/>
              </w:rPr>
            </w:pPr>
            <w:r w:rsidRPr="00155F52">
              <w:rPr>
                <w:rFonts w:ascii="Arial" w:eastAsia="Arial" w:hAnsi="Arial" w:cs="Arial"/>
              </w:rPr>
              <w:t>A-2</w:t>
            </w:r>
          </w:p>
        </w:tc>
        <w:tc>
          <w:tcPr>
            <w:tcW w:w="1078" w:type="dxa"/>
            <w:tcBorders>
              <w:left w:val="nil"/>
            </w:tcBorders>
            <w:shd w:val="clear" w:color="auto" w:fill="1E90FF"/>
          </w:tcPr>
          <w:p w14:paraId="50060F9A" w14:textId="77777777" w:rsidR="00155F52" w:rsidRPr="00155F52" w:rsidRDefault="00155F52" w:rsidP="00155F52">
            <w:pPr>
              <w:widowControl w:val="0"/>
              <w:autoSpaceDE w:val="0"/>
              <w:autoSpaceDN w:val="0"/>
              <w:spacing w:before="5" w:after="0" w:line="240" w:lineRule="auto"/>
              <w:ind w:right="369"/>
              <w:jc w:val="center"/>
              <w:rPr>
                <w:rFonts w:ascii="Arial" w:eastAsia="Arial" w:hAnsi="Arial" w:cs="Arial"/>
              </w:rPr>
            </w:pPr>
            <w:r w:rsidRPr="00155F52">
              <w:rPr>
                <w:rFonts w:ascii="Arial" w:eastAsia="Arial" w:hAnsi="Arial" w:cs="Arial"/>
              </w:rPr>
              <w:t>A-</w:t>
            </w:r>
          </w:p>
        </w:tc>
        <w:tc>
          <w:tcPr>
            <w:tcW w:w="1114" w:type="dxa"/>
            <w:vMerge w:val="restart"/>
            <w:tcBorders>
              <w:right w:val="nil"/>
            </w:tcBorders>
            <w:shd w:val="clear" w:color="auto" w:fill="AFEEEE"/>
          </w:tcPr>
          <w:p w14:paraId="13916A01" w14:textId="77777777" w:rsidR="00155F52" w:rsidRPr="00155F52" w:rsidRDefault="00155F52" w:rsidP="00155F52">
            <w:pPr>
              <w:widowControl w:val="0"/>
              <w:autoSpaceDE w:val="0"/>
              <w:autoSpaceDN w:val="0"/>
              <w:spacing w:before="7" w:after="0" w:line="240" w:lineRule="auto"/>
              <w:rPr>
                <w:rFonts w:ascii="Arial" w:eastAsia="Arial" w:hAnsi="Arial" w:cs="Arial"/>
                <w:b/>
                <w:sz w:val="23"/>
              </w:rPr>
            </w:pPr>
          </w:p>
          <w:p w14:paraId="4C9C60C9" w14:textId="77777777" w:rsidR="00155F52" w:rsidRPr="00155F52" w:rsidRDefault="00155F52" w:rsidP="00155F52">
            <w:pPr>
              <w:widowControl w:val="0"/>
              <w:autoSpaceDE w:val="0"/>
              <w:autoSpaceDN w:val="0"/>
              <w:spacing w:after="0" w:line="240" w:lineRule="auto"/>
              <w:ind w:right="406"/>
              <w:jc w:val="center"/>
              <w:rPr>
                <w:rFonts w:ascii="Arial" w:eastAsia="Arial" w:hAnsi="Arial" w:cs="Arial"/>
              </w:rPr>
            </w:pPr>
            <w:r w:rsidRPr="00155F52">
              <w:rPr>
                <w:rFonts w:ascii="Arial" w:eastAsia="Arial" w:hAnsi="Arial" w:cs="Arial"/>
              </w:rPr>
              <w:t>F2</w:t>
            </w:r>
          </w:p>
        </w:tc>
        <w:tc>
          <w:tcPr>
            <w:tcW w:w="2051" w:type="dxa"/>
            <w:vMerge/>
            <w:tcBorders>
              <w:top w:val="nil"/>
              <w:left w:val="nil"/>
              <w:right w:val="nil"/>
            </w:tcBorders>
            <w:shd w:val="clear" w:color="auto" w:fill="D2B48C"/>
          </w:tcPr>
          <w:p w14:paraId="2639D03E"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r>
      <w:tr w:rsidR="00155F52" w:rsidRPr="00155F52" w14:paraId="645DB5C5" w14:textId="77777777" w:rsidTr="00D92596">
        <w:trPr>
          <w:trHeight w:val="487"/>
          <w:tblCellSpacing w:w="14" w:type="dxa"/>
        </w:trPr>
        <w:tc>
          <w:tcPr>
            <w:tcW w:w="1063" w:type="dxa"/>
            <w:tcBorders>
              <w:left w:val="nil"/>
              <w:right w:val="nil"/>
            </w:tcBorders>
            <w:shd w:val="clear" w:color="auto" w:fill="F08080"/>
          </w:tcPr>
          <w:p w14:paraId="1CDCAC2F" w14:textId="77777777" w:rsidR="00155F52" w:rsidRPr="00155F52" w:rsidRDefault="00155F52" w:rsidP="00155F52">
            <w:pPr>
              <w:widowControl w:val="0"/>
              <w:autoSpaceDE w:val="0"/>
              <w:autoSpaceDN w:val="0"/>
              <w:spacing w:before="5" w:after="0" w:line="240" w:lineRule="auto"/>
              <w:ind w:right="263"/>
              <w:jc w:val="right"/>
              <w:rPr>
                <w:rFonts w:ascii="Arial" w:eastAsia="Arial" w:hAnsi="Arial" w:cs="Arial"/>
              </w:rPr>
            </w:pPr>
            <w:r w:rsidRPr="00155F52">
              <w:rPr>
                <w:rFonts w:ascii="Arial" w:eastAsia="Arial" w:hAnsi="Arial" w:cs="Arial"/>
              </w:rPr>
              <w:t>Baa1</w:t>
            </w:r>
          </w:p>
        </w:tc>
        <w:tc>
          <w:tcPr>
            <w:tcW w:w="1113" w:type="dxa"/>
            <w:vMerge/>
            <w:tcBorders>
              <w:top w:val="nil"/>
              <w:left w:val="nil"/>
              <w:right w:val="nil"/>
            </w:tcBorders>
            <w:shd w:val="clear" w:color="auto" w:fill="FFC0CB"/>
          </w:tcPr>
          <w:p w14:paraId="58C65094"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6" w:type="dxa"/>
            <w:tcBorders>
              <w:left w:val="nil"/>
            </w:tcBorders>
            <w:shd w:val="clear" w:color="auto" w:fill="FFFF00"/>
          </w:tcPr>
          <w:p w14:paraId="4B0E1EDF" w14:textId="77777777" w:rsidR="00155F52" w:rsidRPr="00155F52" w:rsidRDefault="00155F52" w:rsidP="00155F52">
            <w:pPr>
              <w:widowControl w:val="0"/>
              <w:autoSpaceDE w:val="0"/>
              <w:autoSpaceDN w:val="0"/>
              <w:spacing w:before="5" w:after="0" w:line="240" w:lineRule="auto"/>
              <w:ind w:right="215"/>
              <w:jc w:val="center"/>
              <w:rPr>
                <w:rFonts w:ascii="Arial" w:eastAsia="Arial" w:hAnsi="Arial" w:cs="Arial"/>
              </w:rPr>
            </w:pPr>
            <w:r w:rsidRPr="00155F52">
              <w:rPr>
                <w:rFonts w:ascii="Arial" w:eastAsia="Arial" w:hAnsi="Arial" w:cs="Arial"/>
              </w:rPr>
              <w:t>BBB+</w:t>
            </w:r>
          </w:p>
        </w:tc>
        <w:tc>
          <w:tcPr>
            <w:tcW w:w="1114" w:type="dxa"/>
            <w:vMerge/>
            <w:tcBorders>
              <w:top w:val="nil"/>
              <w:right w:val="nil"/>
            </w:tcBorders>
            <w:shd w:val="clear" w:color="auto" w:fill="F0E68C"/>
          </w:tcPr>
          <w:p w14:paraId="77C33A6F"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8" w:type="dxa"/>
            <w:tcBorders>
              <w:left w:val="nil"/>
            </w:tcBorders>
            <w:shd w:val="clear" w:color="auto" w:fill="1E90FF"/>
          </w:tcPr>
          <w:p w14:paraId="17A5A3F8" w14:textId="77777777" w:rsidR="00155F52" w:rsidRPr="00155F52" w:rsidRDefault="00155F52" w:rsidP="00155F52">
            <w:pPr>
              <w:widowControl w:val="0"/>
              <w:autoSpaceDE w:val="0"/>
              <w:autoSpaceDN w:val="0"/>
              <w:spacing w:before="5" w:after="0" w:line="240" w:lineRule="auto"/>
              <w:ind w:right="229"/>
              <w:jc w:val="right"/>
              <w:rPr>
                <w:rFonts w:ascii="Arial" w:eastAsia="Arial" w:hAnsi="Arial" w:cs="Arial"/>
              </w:rPr>
            </w:pPr>
            <w:r w:rsidRPr="00155F52">
              <w:rPr>
                <w:rFonts w:ascii="Arial" w:eastAsia="Arial" w:hAnsi="Arial" w:cs="Arial"/>
              </w:rPr>
              <w:t>BBB+</w:t>
            </w:r>
          </w:p>
        </w:tc>
        <w:tc>
          <w:tcPr>
            <w:tcW w:w="1114" w:type="dxa"/>
            <w:vMerge/>
            <w:tcBorders>
              <w:top w:val="nil"/>
              <w:right w:val="nil"/>
            </w:tcBorders>
            <w:shd w:val="clear" w:color="auto" w:fill="AFEEEE"/>
          </w:tcPr>
          <w:p w14:paraId="48902D72"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2051" w:type="dxa"/>
            <w:vMerge w:val="restart"/>
            <w:tcBorders>
              <w:left w:val="nil"/>
              <w:right w:val="nil"/>
            </w:tcBorders>
            <w:shd w:val="clear" w:color="auto" w:fill="D2B48C"/>
          </w:tcPr>
          <w:p w14:paraId="5E2C4BC6" w14:textId="77777777" w:rsidR="00155F52" w:rsidRPr="00155F52" w:rsidRDefault="00155F52" w:rsidP="00155F52">
            <w:pPr>
              <w:widowControl w:val="0"/>
              <w:autoSpaceDE w:val="0"/>
              <w:autoSpaceDN w:val="0"/>
              <w:spacing w:before="10" w:after="0" w:line="240" w:lineRule="auto"/>
              <w:rPr>
                <w:rFonts w:ascii="Arial" w:eastAsia="Arial" w:hAnsi="Arial" w:cs="Arial"/>
                <w:b/>
                <w:sz w:val="35"/>
              </w:rPr>
            </w:pPr>
          </w:p>
          <w:p w14:paraId="6463D134" w14:textId="77777777" w:rsidR="00155F52" w:rsidRPr="00155F52" w:rsidRDefault="00155F52" w:rsidP="00155F52">
            <w:pPr>
              <w:widowControl w:val="0"/>
              <w:autoSpaceDE w:val="0"/>
              <w:autoSpaceDN w:val="0"/>
              <w:spacing w:after="0" w:line="240" w:lineRule="auto"/>
              <w:rPr>
                <w:rFonts w:ascii="Arial" w:eastAsia="Arial" w:hAnsi="Arial" w:cs="Arial"/>
              </w:rPr>
            </w:pPr>
            <w:r w:rsidRPr="00155F52">
              <w:rPr>
                <w:rFonts w:ascii="Arial" w:eastAsia="Arial" w:hAnsi="Arial" w:cs="Arial"/>
              </w:rPr>
              <w:t>Lower medium</w:t>
            </w:r>
            <w:r w:rsidRPr="00155F52">
              <w:rPr>
                <w:rFonts w:ascii="Arial" w:eastAsia="Arial" w:hAnsi="Arial" w:cs="Arial"/>
                <w:spacing w:val="-59"/>
              </w:rPr>
              <w:t xml:space="preserve"> </w:t>
            </w:r>
            <w:r w:rsidRPr="00155F52">
              <w:rPr>
                <w:rFonts w:ascii="Arial" w:eastAsia="Arial" w:hAnsi="Arial" w:cs="Arial"/>
              </w:rPr>
              <w:t>grade</w:t>
            </w:r>
          </w:p>
        </w:tc>
      </w:tr>
      <w:tr w:rsidR="00155F52" w:rsidRPr="00155F52" w14:paraId="5EA0150F" w14:textId="77777777" w:rsidTr="00D92596">
        <w:trPr>
          <w:trHeight w:val="487"/>
          <w:tblCellSpacing w:w="14" w:type="dxa"/>
        </w:trPr>
        <w:tc>
          <w:tcPr>
            <w:tcW w:w="1063" w:type="dxa"/>
            <w:tcBorders>
              <w:left w:val="nil"/>
              <w:right w:val="nil"/>
            </w:tcBorders>
            <w:shd w:val="clear" w:color="auto" w:fill="F08080"/>
          </w:tcPr>
          <w:p w14:paraId="7A132665" w14:textId="77777777" w:rsidR="00155F52" w:rsidRPr="00155F52" w:rsidRDefault="00155F52" w:rsidP="00155F52">
            <w:pPr>
              <w:widowControl w:val="0"/>
              <w:autoSpaceDE w:val="0"/>
              <w:autoSpaceDN w:val="0"/>
              <w:spacing w:before="5" w:after="0" w:line="240" w:lineRule="auto"/>
              <w:ind w:right="263"/>
              <w:jc w:val="right"/>
              <w:rPr>
                <w:rFonts w:ascii="Arial" w:eastAsia="Arial" w:hAnsi="Arial" w:cs="Arial"/>
              </w:rPr>
            </w:pPr>
            <w:r w:rsidRPr="00155F52">
              <w:rPr>
                <w:rFonts w:ascii="Arial" w:eastAsia="Arial" w:hAnsi="Arial" w:cs="Arial"/>
              </w:rPr>
              <w:t>Baa2</w:t>
            </w:r>
          </w:p>
        </w:tc>
        <w:tc>
          <w:tcPr>
            <w:tcW w:w="1113" w:type="dxa"/>
            <w:vMerge w:val="restart"/>
            <w:tcBorders>
              <w:left w:val="nil"/>
              <w:right w:val="nil"/>
            </w:tcBorders>
            <w:shd w:val="clear" w:color="auto" w:fill="FFC0CB"/>
          </w:tcPr>
          <w:p w14:paraId="4BB4FD1B" w14:textId="77777777" w:rsidR="00155F52" w:rsidRPr="00155F52" w:rsidRDefault="00155F52" w:rsidP="00155F52">
            <w:pPr>
              <w:widowControl w:val="0"/>
              <w:autoSpaceDE w:val="0"/>
              <w:autoSpaceDN w:val="0"/>
              <w:spacing w:before="7" w:after="0" w:line="240" w:lineRule="auto"/>
              <w:rPr>
                <w:rFonts w:ascii="Arial" w:eastAsia="Arial" w:hAnsi="Arial" w:cs="Arial"/>
                <w:b/>
                <w:sz w:val="23"/>
              </w:rPr>
            </w:pPr>
          </w:p>
          <w:p w14:paraId="795EDDEE" w14:textId="77777777" w:rsidR="00155F52" w:rsidRPr="00155F52" w:rsidRDefault="00155F52" w:rsidP="00155F52">
            <w:pPr>
              <w:widowControl w:val="0"/>
              <w:autoSpaceDE w:val="0"/>
              <w:autoSpaceDN w:val="0"/>
              <w:spacing w:after="0" w:line="240" w:lineRule="auto"/>
              <w:ind w:right="365"/>
              <w:jc w:val="center"/>
              <w:rPr>
                <w:rFonts w:ascii="Arial" w:eastAsia="Arial" w:hAnsi="Arial" w:cs="Arial"/>
              </w:rPr>
            </w:pPr>
            <w:r w:rsidRPr="00155F52">
              <w:rPr>
                <w:rFonts w:ascii="Arial" w:eastAsia="Arial" w:hAnsi="Arial" w:cs="Arial"/>
              </w:rPr>
              <w:t>P-3</w:t>
            </w:r>
          </w:p>
        </w:tc>
        <w:tc>
          <w:tcPr>
            <w:tcW w:w="1076" w:type="dxa"/>
            <w:tcBorders>
              <w:left w:val="nil"/>
            </w:tcBorders>
            <w:shd w:val="clear" w:color="auto" w:fill="FFFF00"/>
          </w:tcPr>
          <w:p w14:paraId="4774ED98" w14:textId="77777777" w:rsidR="00155F52" w:rsidRPr="00155F52" w:rsidRDefault="00155F52" w:rsidP="00155F52">
            <w:pPr>
              <w:widowControl w:val="0"/>
              <w:autoSpaceDE w:val="0"/>
              <w:autoSpaceDN w:val="0"/>
              <w:spacing w:before="5" w:after="0" w:line="240" w:lineRule="auto"/>
              <w:ind w:right="215"/>
              <w:jc w:val="center"/>
              <w:rPr>
                <w:rFonts w:ascii="Arial" w:eastAsia="Arial" w:hAnsi="Arial" w:cs="Arial"/>
              </w:rPr>
            </w:pPr>
            <w:r w:rsidRPr="00155F52">
              <w:rPr>
                <w:rFonts w:ascii="Arial" w:eastAsia="Arial" w:hAnsi="Arial" w:cs="Arial"/>
              </w:rPr>
              <w:t>BBB</w:t>
            </w:r>
          </w:p>
        </w:tc>
        <w:tc>
          <w:tcPr>
            <w:tcW w:w="1114" w:type="dxa"/>
            <w:vMerge w:val="restart"/>
            <w:tcBorders>
              <w:right w:val="nil"/>
            </w:tcBorders>
            <w:shd w:val="clear" w:color="auto" w:fill="F0E68C"/>
          </w:tcPr>
          <w:p w14:paraId="6BCBBD0D" w14:textId="77777777" w:rsidR="00155F52" w:rsidRPr="00155F52" w:rsidRDefault="00155F52" w:rsidP="00155F52">
            <w:pPr>
              <w:widowControl w:val="0"/>
              <w:autoSpaceDE w:val="0"/>
              <w:autoSpaceDN w:val="0"/>
              <w:spacing w:before="7" w:after="0" w:line="240" w:lineRule="auto"/>
              <w:rPr>
                <w:rFonts w:ascii="Arial" w:eastAsia="Arial" w:hAnsi="Arial" w:cs="Arial"/>
                <w:b/>
                <w:sz w:val="23"/>
              </w:rPr>
            </w:pPr>
          </w:p>
          <w:p w14:paraId="02209DF4" w14:textId="77777777" w:rsidR="00155F52" w:rsidRPr="00155F52" w:rsidRDefault="00155F52" w:rsidP="00155F52">
            <w:pPr>
              <w:widowControl w:val="0"/>
              <w:autoSpaceDE w:val="0"/>
              <w:autoSpaceDN w:val="0"/>
              <w:spacing w:after="0" w:line="240" w:lineRule="auto"/>
              <w:ind w:right="364"/>
              <w:jc w:val="center"/>
              <w:rPr>
                <w:rFonts w:ascii="Arial" w:eastAsia="Arial" w:hAnsi="Arial" w:cs="Arial"/>
              </w:rPr>
            </w:pPr>
            <w:r w:rsidRPr="00155F52">
              <w:rPr>
                <w:rFonts w:ascii="Arial" w:eastAsia="Arial" w:hAnsi="Arial" w:cs="Arial"/>
              </w:rPr>
              <w:t>A-3</w:t>
            </w:r>
          </w:p>
        </w:tc>
        <w:tc>
          <w:tcPr>
            <w:tcW w:w="1078" w:type="dxa"/>
            <w:tcBorders>
              <w:left w:val="nil"/>
            </w:tcBorders>
            <w:shd w:val="clear" w:color="auto" w:fill="1E90FF"/>
          </w:tcPr>
          <w:p w14:paraId="3858416E" w14:textId="77777777" w:rsidR="00155F52" w:rsidRPr="00155F52" w:rsidRDefault="00155F52" w:rsidP="00155F52">
            <w:pPr>
              <w:widowControl w:val="0"/>
              <w:autoSpaceDE w:val="0"/>
              <w:autoSpaceDN w:val="0"/>
              <w:spacing w:before="5" w:after="0" w:line="240" w:lineRule="auto"/>
              <w:rPr>
                <w:rFonts w:ascii="Arial" w:eastAsia="Arial" w:hAnsi="Arial" w:cs="Arial"/>
              </w:rPr>
            </w:pPr>
            <w:r w:rsidRPr="00155F52">
              <w:rPr>
                <w:rFonts w:ascii="Arial" w:eastAsia="Arial" w:hAnsi="Arial" w:cs="Arial"/>
              </w:rPr>
              <w:t>BBB</w:t>
            </w:r>
          </w:p>
        </w:tc>
        <w:tc>
          <w:tcPr>
            <w:tcW w:w="1114" w:type="dxa"/>
            <w:vMerge w:val="restart"/>
            <w:tcBorders>
              <w:right w:val="nil"/>
            </w:tcBorders>
            <w:shd w:val="clear" w:color="auto" w:fill="AFEEEE"/>
          </w:tcPr>
          <w:p w14:paraId="2CD2DDC0" w14:textId="77777777" w:rsidR="00155F52" w:rsidRPr="00155F52" w:rsidRDefault="00155F52" w:rsidP="00155F52">
            <w:pPr>
              <w:widowControl w:val="0"/>
              <w:autoSpaceDE w:val="0"/>
              <w:autoSpaceDN w:val="0"/>
              <w:spacing w:before="7" w:after="0" w:line="240" w:lineRule="auto"/>
              <w:rPr>
                <w:rFonts w:ascii="Arial" w:eastAsia="Arial" w:hAnsi="Arial" w:cs="Arial"/>
                <w:b/>
                <w:sz w:val="23"/>
              </w:rPr>
            </w:pPr>
          </w:p>
          <w:p w14:paraId="3091CF7D" w14:textId="77777777" w:rsidR="00155F52" w:rsidRPr="00155F52" w:rsidRDefault="00155F52" w:rsidP="00155F52">
            <w:pPr>
              <w:widowControl w:val="0"/>
              <w:autoSpaceDE w:val="0"/>
              <w:autoSpaceDN w:val="0"/>
              <w:spacing w:after="0" w:line="240" w:lineRule="auto"/>
              <w:ind w:right="406"/>
              <w:jc w:val="center"/>
              <w:rPr>
                <w:rFonts w:ascii="Arial" w:eastAsia="Arial" w:hAnsi="Arial" w:cs="Arial"/>
              </w:rPr>
            </w:pPr>
            <w:r w:rsidRPr="00155F52">
              <w:rPr>
                <w:rFonts w:ascii="Arial" w:eastAsia="Arial" w:hAnsi="Arial" w:cs="Arial"/>
              </w:rPr>
              <w:t>F3</w:t>
            </w:r>
          </w:p>
        </w:tc>
        <w:tc>
          <w:tcPr>
            <w:tcW w:w="2051" w:type="dxa"/>
            <w:vMerge/>
            <w:tcBorders>
              <w:top w:val="nil"/>
              <w:left w:val="nil"/>
              <w:right w:val="nil"/>
            </w:tcBorders>
            <w:shd w:val="clear" w:color="auto" w:fill="D2B48C"/>
          </w:tcPr>
          <w:p w14:paraId="64D1C5D9"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r>
      <w:tr w:rsidR="00155F52" w:rsidRPr="00155F52" w14:paraId="06B98CB7" w14:textId="77777777" w:rsidTr="00D92596">
        <w:trPr>
          <w:trHeight w:val="487"/>
          <w:tblCellSpacing w:w="14" w:type="dxa"/>
        </w:trPr>
        <w:tc>
          <w:tcPr>
            <w:tcW w:w="1063" w:type="dxa"/>
            <w:tcBorders>
              <w:left w:val="nil"/>
              <w:right w:val="nil"/>
            </w:tcBorders>
            <w:shd w:val="clear" w:color="auto" w:fill="F08080"/>
          </w:tcPr>
          <w:p w14:paraId="3E54CA9F" w14:textId="77777777" w:rsidR="00155F52" w:rsidRPr="00155F52" w:rsidRDefault="00155F52" w:rsidP="00155F52">
            <w:pPr>
              <w:widowControl w:val="0"/>
              <w:autoSpaceDE w:val="0"/>
              <w:autoSpaceDN w:val="0"/>
              <w:spacing w:before="5" w:after="0" w:line="240" w:lineRule="auto"/>
              <w:ind w:right="263"/>
              <w:jc w:val="right"/>
              <w:rPr>
                <w:rFonts w:ascii="Arial" w:eastAsia="Arial" w:hAnsi="Arial" w:cs="Arial"/>
              </w:rPr>
            </w:pPr>
            <w:r w:rsidRPr="00155F52">
              <w:rPr>
                <w:rFonts w:ascii="Arial" w:eastAsia="Arial" w:hAnsi="Arial" w:cs="Arial"/>
              </w:rPr>
              <w:t>Baa3</w:t>
            </w:r>
          </w:p>
        </w:tc>
        <w:tc>
          <w:tcPr>
            <w:tcW w:w="1113" w:type="dxa"/>
            <w:vMerge/>
            <w:tcBorders>
              <w:top w:val="nil"/>
              <w:left w:val="nil"/>
              <w:right w:val="nil"/>
            </w:tcBorders>
            <w:shd w:val="clear" w:color="auto" w:fill="FFC0CB"/>
          </w:tcPr>
          <w:p w14:paraId="55EE1E5C"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6" w:type="dxa"/>
            <w:tcBorders>
              <w:left w:val="nil"/>
            </w:tcBorders>
            <w:shd w:val="clear" w:color="auto" w:fill="FFFF00"/>
          </w:tcPr>
          <w:p w14:paraId="2B0F9F24" w14:textId="77777777" w:rsidR="00155F52" w:rsidRPr="00155F52" w:rsidRDefault="00155F52" w:rsidP="00155F52">
            <w:pPr>
              <w:widowControl w:val="0"/>
              <w:autoSpaceDE w:val="0"/>
              <w:autoSpaceDN w:val="0"/>
              <w:spacing w:before="5" w:after="0" w:line="240" w:lineRule="auto"/>
              <w:ind w:right="214"/>
              <w:jc w:val="center"/>
              <w:rPr>
                <w:rFonts w:ascii="Arial" w:eastAsia="Arial" w:hAnsi="Arial" w:cs="Arial"/>
              </w:rPr>
            </w:pPr>
            <w:r w:rsidRPr="00155F52">
              <w:rPr>
                <w:rFonts w:ascii="Arial" w:eastAsia="Arial" w:hAnsi="Arial" w:cs="Arial"/>
              </w:rPr>
              <w:t>BBB-</w:t>
            </w:r>
          </w:p>
        </w:tc>
        <w:tc>
          <w:tcPr>
            <w:tcW w:w="1114" w:type="dxa"/>
            <w:vMerge/>
            <w:tcBorders>
              <w:top w:val="nil"/>
              <w:right w:val="nil"/>
            </w:tcBorders>
            <w:shd w:val="clear" w:color="auto" w:fill="F0E68C"/>
          </w:tcPr>
          <w:p w14:paraId="1158FB40"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8" w:type="dxa"/>
            <w:tcBorders>
              <w:left w:val="nil"/>
            </w:tcBorders>
            <w:shd w:val="clear" w:color="auto" w:fill="1E90FF"/>
          </w:tcPr>
          <w:p w14:paraId="1DAB918E" w14:textId="77777777" w:rsidR="00155F52" w:rsidRPr="00155F52" w:rsidRDefault="00155F52" w:rsidP="00155F52">
            <w:pPr>
              <w:widowControl w:val="0"/>
              <w:autoSpaceDE w:val="0"/>
              <w:autoSpaceDN w:val="0"/>
              <w:spacing w:before="5" w:after="0" w:line="240" w:lineRule="auto"/>
              <w:ind w:right="255"/>
              <w:jc w:val="right"/>
              <w:rPr>
                <w:rFonts w:ascii="Arial" w:eastAsia="Arial" w:hAnsi="Arial" w:cs="Arial"/>
              </w:rPr>
            </w:pPr>
            <w:r w:rsidRPr="00155F52">
              <w:rPr>
                <w:rFonts w:ascii="Arial" w:eastAsia="Arial" w:hAnsi="Arial" w:cs="Arial"/>
              </w:rPr>
              <w:t>BBB-</w:t>
            </w:r>
          </w:p>
        </w:tc>
        <w:tc>
          <w:tcPr>
            <w:tcW w:w="1114" w:type="dxa"/>
            <w:vMerge/>
            <w:tcBorders>
              <w:top w:val="nil"/>
              <w:right w:val="nil"/>
            </w:tcBorders>
            <w:shd w:val="clear" w:color="auto" w:fill="AFEEEE"/>
          </w:tcPr>
          <w:p w14:paraId="59FBBD1E"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2051" w:type="dxa"/>
            <w:vMerge/>
            <w:tcBorders>
              <w:top w:val="nil"/>
              <w:left w:val="nil"/>
              <w:right w:val="nil"/>
            </w:tcBorders>
            <w:shd w:val="clear" w:color="auto" w:fill="D2B48C"/>
          </w:tcPr>
          <w:p w14:paraId="2992FB25"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r>
      <w:tr w:rsidR="00155F52" w:rsidRPr="00155F52" w14:paraId="3D1807E5" w14:textId="77777777" w:rsidTr="00D92596">
        <w:trPr>
          <w:trHeight w:val="487"/>
          <w:tblCellSpacing w:w="14" w:type="dxa"/>
        </w:trPr>
        <w:tc>
          <w:tcPr>
            <w:tcW w:w="1063" w:type="dxa"/>
            <w:tcBorders>
              <w:left w:val="nil"/>
              <w:right w:val="nil"/>
            </w:tcBorders>
            <w:shd w:val="clear" w:color="auto" w:fill="F08080"/>
          </w:tcPr>
          <w:p w14:paraId="17580CE5" w14:textId="77777777" w:rsidR="00155F52" w:rsidRPr="00155F52" w:rsidRDefault="00155F52" w:rsidP="00155F52">
            <w:pPr>
              <w:widowControl w:val="0"/>
              <w:autoSpaceDE w:val="0"/>
              <w:autoSpaceDN w:val="0"/>
              <w:spacing w:before="5" w:after="0" w:line="240" w:lineRule="auto"/>
              <w:ind w:right="325"/>
              <w:jc w:val="right"/>
              <w:rPr>
                <w:rFonts w:ascii="Arial" w:eastAsia="Arial" w:hAnsi="Arial" w:cs="Arial"/>
              </w:rPr>
            </w:pPr>
            <w:r w:rsidRPr="00155F52">
              <w:rPr>
                <w:rFonts w:ascii="Arial" w:eastAsia="Arial" w:hAnsi="Arial" w:cs="Arial"/>
              </w:rPr>
              <w:t>Ba1</w:t>
            </w:r>
          </w:p>
        </w:tc>
        <w:tc>
          <w:tcPr>
            <w:tcW w:w="1113" w:type="dxa"/>
            <w:vMerge w:val="restart"/>
            <w:tcBorders>
              <w:left w:val="nil"/>
              <w:bottom w:val="nil"/>
              <w:right w:val="nil"/>
            </w:tcBorders>
            <w:shd w:val="clear" w:color="auto" w:fill="FFC0CB"/>
          </w:tcPr>
          <w:p w14:paraId="27F35A73"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3DE1BC87"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180A5D37"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60A6B61C"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76A533AC"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3ABC5614"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663F1C33"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1E29AFB0" w14:textId="77777777" w:rsidR="00155F52" w:rsidRPr="00155F52" w:rsidRDefault="00155F52" w:rsidP="00155F52">
            <w:pPr>
              <w:widowControl w:val="0"/>
              <w:autoSpaceDE w:val="0"/>
              <w:autoSpaceDN w:val="0"/>
              <w:spacing w:before="9" w:after="0" w:line="240" w:lineRule="auto"/>
              <w:rPr>
                <w:rFonts w:ascii="Arial" w:eastAsia="Arial" w:hAnsi="Arial" w:cs="Arial"/>
                <w:b/>
                <w:sz w:val="28"/>
              </w:rPr>
            </w:pPr>
          </w:p>
          <w:p w14:paraId="4045C0A3" w14:textId="77777777" w:rsidR="00155F52" w:rsidRPr="00155F52" w:rsidRDefault="00155F52" w:rsidP="00155F52">
            <w:pPr>
              <w:widowControl w:val="0"/>
              <w:autoSpaceDE w:val="0"/>
              <w:autoSpaceDN w:val="0"/>
              <w:spacing w:after="0" w:line="240" w:lineRule="auto"/>
              <w:rPr>
                <w:rFonts w:ascii="Arial" w:eastAsia="Arial" w:hAnsi="Arial" w:cs="Arial"/>
              </w:rPr>
            </w:pPr>
            <w:r w:rsidRPr="00155F52">
              <w:rPr>
                <w:rFonts w:ascii="Arial" w:eastAsia="Arial" w:hAnsi="Arial" w:cs="Arial"/>
              </w:rPr>
              <w:t>Not</w:t>
            </w:r>
            <w:r w:rsidRPr="00155F52">
              <w:rPr>
                <w:rFonts w:ascii="Arial" w:eastAsia="Arial" w:hAnsi="Arial" w:cs="Arial"/>
                <w:spacing w:val="-1"/>
              </w:rPr>
              <w:t xml:space="preserve"> </w:t>
            </w:r>
            <w:r w:rsidRPr="00155F52">
              <w:rPr>
                <w:rFonts w:ascii="Arial" w:eastAsia="Arial" w:hAnsi="Arial" w:cs="Arial"/>
              </w:rPr>
              <w:t>prime</w:t>
            </w:r>
          </w:p>
        </w:tc>
        <w:tc>
          <w:tcPr>
            <w:tcW w:w="1076" w:type="dxa"/>
            <w:tcBorders>
              <w:left w:val="nil"/>
            </w:tcBorders>
            <w:shd w:val="clear" w:color="auto" w:fill="FFFF00"/>
          </w:tcPr>
          <w:p w14:paraId="4EFC14EA" w14:textId="77777777" w:rsidR="00155F52" w:rsidRPr="00155F52" w:rsidRDefault="00155F52" w:rsidP="00155F52">
            <w:pPr>
              <w:widowControl w:val="0"/>
              <w:autoSpaceDE w:val="0"/>
              <w:autoSpaceDN w:val="0"/>
              <w:spacing w:before="5" w:after="0" w:line="240" w:lineRule="auto"/>
              <w:ind w:right="214"/>
              <w:jc w:val="center"/>
              <w:rPr>
                <w:rFonts w:ascii="Arial" w:eastAsia="Arial" w:hAnsi="Arial" w:cs="Arial"/>
              </w:rPr>
            </w:pPr>
            <w:r w:rsidRPr="00155F52">
              <w:rPr>
                <w:rFonts w:ascii="Arial" w:eastAsia="Arial" w:hAnsi="Arial" w:cs="Arial"/>
              </w:rPr>
              <w:t>BB+</w:t>
            </w:r>
          </w:p>
        </w:tc>
        <w:tc>
          <w:tcPr>
            <w:tcW w:w="1114" w:type="dxa"/>
            <w:vMerge w:val="restart"/>
            <w:tcBorders>
              <w:right w:val="nil"/>
            </w:tcBorders>
            <w:shd w:val="clear" w:color="auto" w:fill="F0E68C"/>
          </w:tcPr>
          <w:p w14:paraId="37BB3DD5"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253FF2A4"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214C4463"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05E85665"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3D471EA8" w14:textId="77777777" w:rsidR="00155F52" w:rsidRPr="00155F52" w:rsidRDefault="00155F52" w:rsidP="00155F52">
            <w:pPr>
              <w:widowControl w:val="0"/>
              <w:autoSpaceDE w:val="0"/>
              <w:autoSpaceDN w:val="0"/>
              <w:spacing w:before="5" w:after="0" w:line="240" w:lineRule="auto"/>
              <w:rPr>
                <w:rFonts w:ascii="Arial" w:eastAsia="Arial" w:hAnsi="Arial" w:cs="Arial"/>
                <w:b/>
                <w:sz w:val="20"/>
              </w:rPr>
            </w:pPr>
          </w:p>
          <w:p w14:paraId="6C6FF52F" w14:textId="77777777" w:rsidR="00155F52" w:rsidRPr="00155F52" w:rsidRDefault="00155F52" w:rsidP="00155F52">
            <w:pPr>
              <w:widowControl w:val="0"/>
              <w:autoSpaceDE w:val="0"/>
              <w:autoSpaceDN w:val="0"/>
              <w:spacing w:after="0" w:line="240" w:lineRule="auto"/>
              <w:jc w:val="center"/>
              <w:rPr>
                <w:rFonts w:ascii="Arial" w:eastAsia="Arial" w:hAnsi="Arial" w:cs="Arial"/>
              </w:rPr>
            </w:pPr>
            <w:r w:rsidRPr="00155F52">
              <w:rPr>
                <w:rFonts w:ascii="Arial" w:eastAsia="Arial" w:hAnsi="Arial" w:cs="Arial"/>
              </w:rPr>
              <w:t>B</w:t>
            </w:r>
          </w:p>
        </w:tc>
        <w:tc>
          <w:tcPr>
            <w:tcW w:w="1078" w:type="dxa"/>
            <w:tcBorders>
              <w:left w:val="nil"/>
            </w:tcBorders>
            <w:shd w:val="clear" w:color="auto" w:fill="1E90FF"/>
          </w:tcPr>
          <w:p w14:paraId="1E1E0A55" w14:textId="77777777" w:rsidR="00155F52" w:rsidRPr="00155F52" w:rsidRDefault="00155F52" w:rsidP="00155F52">
            <w:pPr>
              <w:widowControl w:val="0"/>
              <w:autoSpaceDE w:val="0"/>
              <w:autoSpaceDN w:val="0"/>
              <w:spacing w:before="5" w:after="0" w:line="240" w:lineRule="auto"/>
              <w:rPr>
                <w:rFonts w:ascii="Arial" w:eastAsia="Arial" w:hAnsi="Arial" w:cs="Arial"/>
              </w:rPr>
            </w:pPr>
            <w:r w:rsidRPr="00155F52">
              <w:rPr>
                <w:rFonts w:ascii="Arial" w:eastAsia="Arial" w:hAnsi="Arial" w:cs="Arial"/>
              </w:rPr>
              <w:t>BB+</w:t>
            </w:r>
          </w:p>
        </w:tc>
        <w:tc>
          <w:tcPr>
            <w:tcW w:w="1114" w:type="dxa"/>
            <w:vMerge w:val="restart"/>
            <w:tcBorders>
              <w:right w:val="nil"/>
            </w:tcBorders>
            <w:shd w:val="clear" w:color="auto" w:fill="AFEEEE"/>
          </w:tcPr>
          <w:p w14:paraId="017F14E8"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0351BA56"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7166359B"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792361C4"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5D6AA7CB" w14:textId="77777777" w:rsidR="00155F52" w:rsidRPr="00155F52" w:rsidRDefault="00155F52" w:rsidP="00155F52">
            <w:pPr>
              <w:widowControl w:val="0"/>
              <w:autoSpaceDE w:val="0"/>
              <w:autoSpaceDN w:val="0"/>
              <w:spacing w:before="5" w:after="0" w:line="240" w:lineRule="auto"/>
              <w:rPr>
                <w:rFonts w:ascii="Arial" w:eastAsia="Arial" w:hAnsi="Arial" w:cs="Arial"/>
                <w:b/>
                <w:sz w:val="20"/>
              </w:rPr>
            </w:pPr>
          </w:p>
          <w:p w14:paraId="5FB3FFDE" w14:textId="77777777" w:rsidR="00155F52" w:rsidRPr="00155F52" w:rsidRDefault="00155F52" w:rsidP="00155F52">
            <w:pPr>
              <w:widowControl w:val="0"/>
              <w:autoSpaceDE w:val="0"/>
              <w:autoSpaceDN w:val="0"/>
              <w:spacing w:after="0" w:line="240" w:lineRule="auto"/>
              <w:jc w:val="center"/>
              <w:rPr>
                <w:rFonts w:ascii="Arial" w:eastAsia="Arial" w:hAnsi="Arial" w:cs="Arial"/>
              </w:rPr>
            </w:pPr>
            <w:r w:rsidRPr="00155F52">
              <w:rPr>
                <w:rFonts w:ascii="Arial" w:eastAsia="Arial" w:hAnsi="Arial" w:cs="Arial"/>
              </w:rPr>
              <w:t>B</w:t>
            </w:r>
          </w:p>
        </w:tc>
        <w:tc>
          <w:tcPr>
            <w:tcW w:w="2051" w:type="dxa"/>
            <w:vMerge w:val="restart"/>
            <w:tcBorders>
              <w:left w:val="nil"/>
              <w:right w:val="nil"/>
            </w:tcBorders>
            <w:shd w:val="clear" w:color="auto" w:fill="D2B48C"/>
          </w:tcPr>
          <w:p w14:paraId="176BE1C9" w14:textId="77777777" w:rsidR="00155F52" w:rsidRPr="00155F52" w:rsidRDefault="00155F52" w:rsidP="00155F52">
            <w:pPr>
              <w:widowControl w:val="0"/>
              <w:autoSpaceDE w:val="0"/>
              <w:autoSpaceDN w:val="0"/>
              <w:spacing w:before="9" w:after="0" w:line="240" w:lineRule="auto"/>
              <w:rPr>
                <w:rFonts w:ascii="Arial" w:eastAsia="Arial" w:hAnsi="Arial" w:cs="Arial"/>
                <w:b/>
                <w:sz w:val="24"/>
              </w:rPr>
            </w:pPr>
          </w:p>
          <w:p w14:paraId="20C19258" w14:textId="77777777" w:rsidR="00155F52" w:rsidRPr="00155F52" w:rsidRDefault="00155F52" w:rsidP="00155F52">
            <w:pPr>
              <w:widowControl w:val="0"/>
              <w:autoSpaceDE w:val="0"/>
              <w:autoSpaceDN w:val="0"/>
              <w:spacing w:before="1" w:after="0" w:line="240" w:lineRule="auto"/>
              <w:ind w:right="224"/>
              <w:jc w:val="center"/>
              <w:rPr>
                <w:rFonts w:ascii="Arial" w:eastAsia="Arial" w:hAnsi="Arial" w:cs="Arial"/>
              </w:rPr>
            </w:pPr>
            <w:r w:rsidRPr="00155F52">
              <w:rPr>
                <w:rFonts w:ascii="Arial" w:eastAsia="Arial" w:hAnsi="Arial" w:cs="Arial"/>
              </w:rPr>
              <w:t>Non-investment</w:t>
            </w:r>
            <w:r w:rsidRPr="00155F52">
              <w:rPr>
                <w:rFonts w:ascii="Arial" w:eastAsia="Arial" w:hAnsi="Arial" w:cs="Arial"/>
                <w:spacing w:val="-59"/>
              </w:rPr>
              <w:t xml:space="preserve"> </w:t>
            </w:r>
            <w:r w:rsidRPr="00155F52">
              <w:rPr>
                <w:rFonts w:ascii="Arial" w:eastAsia="Arial" w:hAnsi="Arial" w:cs="Arial"/>
              </w:rPr>
              <w:t>grade</w:t>
            </w:r>
            <w:r w:rsidRPr="00155F52">
              <w:rPr>
                <w:rFonts w:ascii="Arial" w:eastAsia="Arial" w:hAnsi="Arial" w:cs="Arial"/>
                <w:spacing w:val="1"/>
              </w:rPr>
              <w:t xml:space="preserve"> </w:t>
            </w:r>
            <w:r w:rsidRPr="00155F52">
              <w:rPr>
                <w:rFonts w:ascii="Arial" w:eastAsia="Arial" w:hAnsi="Arial" w:cs="Arial"/>
              </w:rPr>
              <w:t>speculative</w:t>
            </w:r>
          </w:p>
        </w:tc>
      </w:tr>
      <w:tr w:rsidR="00155F52" w:rsidRPr="00155F52" w14:paraId="7D2A27D3" w14:textId="77777777" w:rsidTr="00D92596">
        <w:trPr>
          <w:trHeight w:val="490"/>
          <w:tblCellSpacing w:w="14" w:type="dxa"/>
        </w:trPr>
        <w:tc>
          <w:tcPr>
            <w:tcW w:w="1063" w:type="dxa"/>
            <w:tcBorders>
              <w:left w:val="nil"/>
              <w:right w:val="nil"/>
            </w:tcBorders>
            <w:shd w:val="clear" w:color="auto" w:fill="F08080"/>
          </w:tcPr>
          <w:p w14:paraId="5DF3B26F" w14:textId="77777777" w:rsidR="00155F52" w:rsidRPr="00155F52" w:rsidRDefault="00155F52" w:rsidP="00155F52">
            <w:pPr>
              <w:widowControl w:val="0"/>
              <w:autoSpaceDE w:val="0"/>
              <w:autoSpaceDN w:val="0"/>
              <w:spacing w:before="5" w:after="0" w:line="240" w:lineRule="auto"/>
              <w:ind w:right="325"/>
              <w:jc w:val="right"/>
              <w:rPr>
                <w:rFonts w:ascii="Arial" w:eastAsia="Arial" w:hAnsi="Arial" w:cs="Arial"/>
              </w:rPr>
            </w:pPr>
            <w:r w:rsidRPr="00155F52">
              <w:rPr>
                <w:rFonts w:ascii="Arial" w:eastAsia="Arial" w:hAnsi="Arial" w:cs="Arial"/>
              </w:rPr>
              <w:t>Ba2</w:t>
            </w:r>
          </w:p>
        </w:tc>
        <w:tc>
          <w:tcPr>
            <w:tcW w:w="1113" w:type="dxa"/>
            <w:vMerge/>
            <w:tcBorders>
              <w:top w:val="nil"/>
              <w:left w:val="nil"/>
              <w:bottom w:val="nil"/>
              <w:right w:val="nil"/>
            </w:tcBorders>
            <w:shd w:val="clear" w:color="auto" w:fill="FFC0CB"/>
          </w:tcPr>
          <w:p w14:paraId="691128C9"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6" w:type="dxa"/>
            <w:tcBorders>
              <w:left w:val="nil"/>
            </w:tcBorders>
            <w:shd w:val="clear" w:color="auto" w:fill="FFFF00"/>
          </w:tcPr>
          <w:p w14:paraId="52568667" w14:textId="77777777" w:rsidR="00155F52" w:rsidRPr="00155F52" w:rsidRDefault="00155F52" w:rsidP="00155F52">
            <w:pPr>
              <w:widowControl w:val="0"/>
              <w:autoSpaceDE w:val="0"/>
              <w:autoSpaceDN w:val="0"/>
              <w:spacing w:before="5" w:after="0" w:line="240" w:lineRule="auto"/>
              <w:ind w:right="214"/>
              <w:jc w:val="center"/>
              <w:rPr>
                <w:rFonts w:ascii="Arial" w:eastAsia="Arial" w:hAnsi="Arial" w:cs="Arial"/>
              </w:rPr>
            </w:pPr>
            <w:r w:rsidRPr="00155F52">
              <w:rPr>
                <w:rFonts w:ascii="Arial" w:eastAsia="Arial" w:hAnsi="Arial" w:cs="Arial"/>
              </w:rPr>
              <w:t>BB</w:t>
            </w:r>
          </w:p>
        </w:tc>
        <w:tc>
          <w:tcPr>
            <w:tcW w:w="1114" w:type="dxa"/>
            <w:vMerge/>
            <w:tcBorders>
              <w:top w:val="nil"/>
              <w:right w:val="nil"/>
            </w:tcBorders>
            <w:shd w:val="clear" w:color="auto" w:fill="F0E68C"/>
          </w:tcPr>
          <w:p w14:paraId="5C6F0006"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8" w:type="dxa"/>
            <w:tcBorders>
              <w:left w:val="nil"/>
            </w:tcBorders>
            <w:shd w:val="clear" w:color="auto" w:fill="1E90FF"/>
          </w:tcPr>
          <w:p w14:paraId="2960C185" w14:textId="77777777" w:rsidR="00155F52" w:rsidRPr="00155F52" w:rsidRDefault="00155F52" w:rsidP="00155F52">
            <w:pPr>
              <w:widowControl w:val="0"/>
              <w:autoSpaceDE w:val="0"/>
              <w:autoSpaceDN w:val="0"/>
              <w:spacing w:before="5" w:after="0" w:line="240" w:lineRule="auto"/>
              <w:ind w:right="369"/>
              <w:jc w:val="center"/>
              <w:rPr>
                <w:rFonts w:ascii="Arial" w:eastAsia="Arial" w:hAnsi="Arial" w:cs="Arial"/>
              </w:rPr>
            </w:pPr>
            <w:r w:rsidRPr="00155F52">
              <w:rPr>
                <w:rFonts w:ascii="Arial" w:eastAsia="Arial" w:hAnsi="Arial" w:cs="Arial"/>
              </w:rPr>
              <w:t>BB</w:t>
            </w:r>
          </w:p>
        </w:tc>
        <w:tc>
          <w:tcPr>
            <w:tcW w:w="1114" w:type="dxa"/>
            <w:vMerge/>
            <w:tcBorders>
              <w:top w:val="nil"/>
              <w:right w:val="nil"/>
            </w:tcBorders>
            <w:shd w:val="clear" w:color="auto" w:fill="AFEEEE"/>
          </w:tcPr>
          <w:p w14:paraId="7FECCEE6"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2051" w:type="dxa"/>
            <w:vMerge/>
            <w:tcBorders>
              <w:top w:val="nil"/>
              <w:left w:val="nil"/>
              <w:right w:val="nil"/>
            </w:tcBorders>
            <w:shd w:val="clear" w:color="auto" w:fill="D2B48C"/>
          </w:tcPr>
          <w:p w14:paraId="3ACA479D"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r>
      <w:tr w:rsidR="00155F52" w:rsidRPr="00155F52" w14:paraId="77DCE35D" w14:textId="77777777" w:rsidTr="00D92596">
        <w:trPr>
          <w:trHeight w:val="487"/>
          <w:tblCellSpacing w:w="14" w:type="dxa"/>
        </w:trPr>
        <w:tc>
          <w:tcPr>
            <w:tcW w:w="1063" w:type="dxa"/>
            <w:tcBorders>
              <w:left w:val="nil"/>
              <w:right w:val="nil"/>
            </w:tcBorders>
            <w:shd w:val="clear" w:color="auto" w:fill="F08080"/>
          </w:tcPr>
          <w:p w14:paraId="5546C908" w14:textId="77777777" w:rsidR="00155F52" w:rsidRPr="00155F52" w:rsidRDefault="00155F52" w:rsidP="00155F52">
            <w:pPr>
              <w:widowControl w:val="0"/>
              <w:autoSpaceDE w:val="0"/>
              <w:autoSpaceDN w:val="0"/>
              <w:spacing w:before="5" w:after="0" w:line="240" w:lineRule="auto"/>
              <w:ind w:right="325"/>
              <w:jc w:val="right"/>
              <w:rPr>
                <w:rFonts w:ascii="Arial" w:eastAsia="Arial" w:hAnsi="Arial" w:cs="Arial"/>
              </w:rPr>
            </w:pPr>
            <w:r w:rsidRPr="00155F52">
              <w:rPr>
                <w:rFonts w:ascii="Arial" w:eastAsia="Arial" w:hAnsi="Arial" w:cs="Arial"/>
              </w:rPr>
              <w:t>Ba3</w:t>
            </w:r>
          </w:p>
        </w:tc>
        <w:tc>
          <w:tcPr>
            <w:tcW w:w="1113" w:type="dxa"/>
            <w:vMerge/>
            <w:tcBorders>
              <w:top w:val="nil"/>
              <w:left w:val="nil"/>
              <w:bottom w:val="nil"/>
              <w:right w:val="nil"/>
            </w:tcBorders>
            <w:shd w:val="clear" w:color="auto" w:fill="FFC0CB"/>
          </w:tcPr>
          <w:p w14:paraId="179B09A8"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6" w:type="dxa"/>
            <w:tcBorders>
              <w:left w:val="nil"/>
            </w:tcBorders>
            <w:shd w:val="clear" w:color="auto" w:fill="FFFF00"/>
          </w:tcPr>
          <w:p w14:paraId="31CE2C07" w14:textId="77777777" w:rsidR="00155F52" w:rsidRPr="00155F52" w:rsidRDefault="00155F52" w:rsidP="00155F52">
            <w:pPr>
              <w:widowControl w:val="0"/>
              <w:autoSpaceDE w:val="0"/>
              <w:autoSpaceDN w:val="0"/>
              <w:spacing w:before="5" w:after="0" w:line="240" w:lineRule="auto"/>
              <w:ind w:right="214"/>
              <w:jc w:val="center"/>
              <w:rPr>
                <w:rFonts w:ascii="Arial" w:eastAsia="Arial" w:hAnsi="Arial" w:cs="Arial"/>
              </w:rPr>
            </w:pPr>
            <w:r w:rsidRPr="00155F52">
              <w:rPr>
                <w:rFonts w:ascii="Arial" w:eastAsia="Arial" w:hAnsi="Arial" w:cs="Arial"/>
              </w:rPr>
              <w:t>BB-</w:t>
            </w:r>
          </w:p>
        </w:tc>
        <w:tc>
          <w:tcPr>
            <w:tcW w:w="1114" w:type="dxa"/>
            <w:vMerge/>
            <w:tcBorders>
              <w:top w:val="nil"/>
              <w:right w:val="nil"/>
            </w:tcBorders>
            <w:shd w:val="clear" w:color="auto" w:fill="F0E68C"/>
          </w:tcPr>
          <w:p w14:paraId="4D7BD2A6"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8" w:type="dxa"/>
            <w:tcBorders>
              <w:left w:val="nil"/>
            </w:tcBorders>
            <w:shd w:val="clear" w:color="auto" w:fill="1E90FF"/>
          </w:tcPr>
          <w:p w14:paraId="224CF66F" w14:textId="77777777" w:rsidR="00155F52" w:rsidRPr="00155F52" w:rsidRDefault="00155F52" w:rsidP="00155F52">
            <w:pPr>
              <w:widowControl w:val="0"/>
              <w:autoSpaceDE w:val="0"/>
              <w:autoSpaceDN w:val="0"/>
              <w:spacing w:before="5" w:after="0" w:line="240" w:lineRule="auto"/>
              <w:rPr>
                <w:rFonts w:ascii="Arial" w:eastAsia="Arial" w:hAnsi="Arial" w:cs="Arial"/>
              </w:rPr>
            </w:pPr>
            <w:r w:rsidRPr="00155F52">
              <w:rPr>
                <w:rFonts w:ascii="Arial" w:eastAsia="Arial" w:hAnsi="Arial" w:cs="Arial"/>
              </w:rPr>
              <w:t>BB-</w:t>
            </w:r>
          </w:p>
        </w:tc>
        <w:tc>
          <w:tcPr>
            <w:tcW w:w="1114" w:type="dxa"/>
            <w:vMerge/>
            <w:tcBorders>
              <w:top w:val="nil"/>
              <w:right w:val="nil"/>
            </w:tcBorders>
            <w:shd w:val="clear" w:color="auto" w:fill="AFEEEE"/>
          </w:tcPr>
          <w:p w14:paraId="7D96C8C7"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2051" w:type="dxa"/>
            <w:vMerge/>
            <w:tcBorders>
              <w:top w:val="nil"/>
              <w:left w:val="nil"/>
              <w:right w:val="nil"/>
            </w:tcBorders>
            <w:shd w:val="clear" w:color="auto" w:fill="D2B48C"/>
          </w:tcPr>
          <w:p w14:paraId="1CA16CF0"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r>
      <w:tr w:rsidR="00155F52" w:rsidRPr="00155F52" w14:paraId="1FFF00A9" w14:textId="77777777" w:rsidTr="00D92596">
        <w:trPr>
          <w:trHeight w:val="487"/>
          <w:tblCellSpacing w:w="14" w:type="dxa"/>
        </w:trPr>
        <w:tc>
          <w:tcPr>
            <w:tcW w:w="1063" w:type="dxa"/>
            <w:tcBorders>
              <w:left w:val="nil"/>
              <w:right w:val="nil"/>
            </w:tcBorders>
            <w:shd w:val="clear" w:color="auto" w:fill="F08080"/>
          </w:tcPr>
          <w:p w14:paraId="700B5F1E" w14:textId="77777777" w:rsidR="00155F52" w:rsidRPr="00155F52" w:rsidRDefault="00155F52" w:rsidP="00155F52">
            <w:pPr>
              <w:widowControl w:val="0"/>
              <w:autoSpaceDE w:val="0"/>
              <w:autoSpaceDN w:val="0"/>
              <w:spacing w:before="5" w:after="0" w:line="240" w:lineRule="auto"/>
              <w:ind w:right="381"/>
              <w:jc w:val="center"/>
              <w:rPr>
                <w:rFonts w:ascii="Arial" w:eastAsia="Arial" w:hAnsi="Arial" w:cs="Arial"/>
              </w:rPr>
            </w:pPr>
            <w:r w:rsidRPr="00155F52">
              <w:rPr>
                <w:rFonts w:ascii="Arial" w:eastAsia="Arial" w:hAnsi="Arial" w:cs="Arial"/>
              </w:rPr>
              <w:t>B1</w:t>
            </w:r>
          </w:p>
        </w:tc>
        <w:tc>
          <w:tcPr>
            <w:tcW w:w="1113" w:type="dxa"/>
            <w:vMerge/>
            <w:tcBorders>
              <w:top w:val="nil"/>
              <w:left w:val="nil"/>
              <w:bottom w:val="nil"/>
              <w:right w:val="nil"/>
            </w:tcBorders>
            <w:shd w:val="clear" w:color="auto" w:fill="FFC0CB"/>
          </w:tcPr>
          <w:p w14:paraId="7F4CF74F"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6" w:type="dxa"/>
            <w:tcBorders>
              <w:left w:val="nil"/>
            </w:tcBorders>
            <w:shd w:val="clear" w:color="auto" w:fill="FFFF00"/>
          </w:tcPr>
          <w:p w14:paraId="46B883D1" w14:textId="77777777" w:rsidR="00155F52" w:rsidRPr="00155F52" w:rsidRDefault="00155F52" w:rsidP="00155F52">
            <w:pPr>
              <w:widowControl w:val="0"/>
              <w:autoSpaceDE w:val="0"/>
              <w:autoSpaceDN w:val="0"/>
              <w:spacing w:before="5" w:after="0" w:line="240" w:lineRule="auto"/>
              <w:ind w:right="215"/>
              <w:jc w:val="center"/>
              <w:rPr>
                <w:rFonts w:ascii="Arial" w:eastAsia="Arial" w:hAnsi="Arial" w:cs="Arial"/>
              </w:rPr>
            </w:pPr>
            <w:r w:rsidRPr="00155F52">
              <w:rPr>
                <w:rFonts w:ascii="Arial" w:eastAsia="Arial" w:hAnsi="Arial" w:cs="Arial"/>
              </w:rPr>
              <w:t>B+</w:t>
            </w:r>
          </w:p>
        </w:tc>
        <w:tc>
          <w:tcPr>
            <w:tcW w:w="1114" w:type="dxa"/>
            <w:vMerge/>
            <w:tcBorders>
              <w:top w:val="nil"/>
              <w:right w:val="nil"/>
            </w:tcBorders>
            <w:shd w:val="clear" w:color="auto" w:fill="F0E68C"/>
          </w:tcPr>
          <w:p w14:paraId="2FA5B4FB"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8" w:type="dxa"/>
            <w:tcBorders>
              <w:left w:val="nil"/>
            </w:tcBorders>
            <w:shd w:val="clear" w:color="auto" w:fill="1E90FF"/>
          </w:tcPr>
          <w:p w14:paraId="031CC2AD" w14:textId="77777777" w:rsidR="00155F52" w:rsidRPr="00155F52" w:rsidRDefault="00155F52" w:rsidP="00155F52">
            <w:pPr>
              <w:widowControl w:val="0"/>
              <w:autoSpaceDE w:val="0"/>
              <w:autoSpaceDN w:val="0"/>
              <w:spacing w:before="5" w:after="0" w:line="240" w:lineRule="auto"/>
              <w:ind w:right="369"/>
              <w:jc w:val="center"/>
              <w:rPr>
                <w:rFonts w:ascii="Arial" w:eastAsia="Arial" w:hAnsi="Arial" w:cs="Arial"/>
              </w:rPr>
            </w:pPr>
            <w:r w:rsidRPr="00155F52">
              <w:rPr>
                <w:rFonts w:ascii="Arial" w:eastAsia="Arial" w:hAnsi="Arial" w:cs="Arial"/>
              </w:rPr>
              <w:t>B+</w:t>
            </w:r>
          </w:p>
        </w:tc>
        <w:tc>
          <w:tcPr>
            <w:tcW w:w="1114" w:type="dxa"/>
            <w:vMerge/>
            <w:tcBorders>
              <w:top w:val="nil"/>
              <w:right w:val="nil"/>
            </w:tcBorders>
            <w:shd w:val="clear" w:color="auto" w:fill="AFEEEE"/>
          </w:tcPr>
          <w:p w14:paraId="016510E3"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2051" w:type="dxa"/>
            <w:vMerge w:val="restart"/>
            <w:tcBorders>
              <w:left w:val="nil"/>
              <w:right w:val="nil"/>
            </w:tcBorders>
            <w:shd w:val="clear" w:color="auto" w:fill="D2B48C"/>
          </w:tcPr>
          <w:p w14:paraId="1D458420"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0EEA77D2" w14:textId="77777777" w:rsidR="00155F52" w:rsidRPr="00155F52" w:rsidRDefault="00155F52" w:rsidP="00155F52">
            <w:pPr>
              <w:widowControl w:val="0"/>
              <w:autoSpaceDE w:val="0"/>
              <w:autoSpaceDN w:val="0"/>
              <w:spacing w:before="8" w:after="0" w:line="240" w:lineRule="auto"/>
              <w:rPr>
                <w:rFonts w:ascii="Arial" w:eastAsia="Arial" w:hAnsi="Arial" w:cs="Arial"/>
                <w:b/>
              </w:rPr>
            </w:pPr>
          </w:p>
          <w:p w14:paraId="54035C76" w14:textId="77777777" w:rsidR="00155F52" w:rsidRPr="00155F52" w:rsidRDefault="00155F52" w:rsidP="00155F52">
            <w:pPr>
              <w:widowControl w:val="0"/>
              <w:autoSpaceDE w:val="0"/>
              <w:autoSpaceDN w:val="0"/>
              <w:spacing w:before="1" w:after="0" w:line="240" w:lineRule="auto"/>
              <w:rPr>
                <w:rFonts w:ascii="Arial" w:eastAsia="Arial" w:hAnsi="Arial" w:cs="Arial"/>
              </w:rPr>
            </w:pPr>
            <w:r w:rsidRPr="00155F52">
              <w:rPr>
                <w:rFonts w:ascii="Arial" w:eastAsia="Arial" w:hAnsi="Arial" w:cs="Arial"/>
              </w:rPr>
              <w:t>Highly</w:t>
            </w:r>
            <w:r w:rsidRPr="00155F52">
              <w:rPr>
                <w:rFonts w:ascii="Arial" w:eastAsia="Arial" w:hAnsi="Arial" w:cs="Arial"/>
                <w:spacing w:val="-7"/>
              </w:rPr>
              <w:t xml:space="preserve"> </w:t>
            </w:r>
            <w:r w:rsidRPr="00155F52">
              <w:rPr>
                <w:rFonts w:ascii="Arial" w:eastAsia="Arial" w:hAnsi="Arial" w:cs="Arial"/>
              </w:rPr>
              <w:t>speculative</w:t>
            </w:r>
          </w:p>
        </w:tc>
      </w:tr>
      <w:tr w:rsidR="00155F52" w:rsidRPr="00155F52" w14:paraId="35CD547F" w14:textId="77777777" w:rsidTr="00D92596">
        <w:trPr>
          <w:trHeight w:val="487"/>
          <w:tblCellSpacing w:w="14" w:type="dxa"/>
        </w:trPr>
        <w:tc>
          <w:tcPr>
            <w:tcW w:w="1063" w:type="dxa"/>
            <w:tcBorders>
              <w:left w:val="nil"/>
              <w:right w:val="nil"/>
            </w:tcBorders>
            <w:shd w:val="clear" w:color="auto" w:fill="F08080"/>
          </w:tcPr>
          <w:p w14:paraId="14C910D7" w14:textId="77777777" w:rsidR="00155F52" w:rsidRPr="00155F52" w:rsidRDefault="00155F52" w:rsidP="00155F52">
            <w:pPr>
              <w:widowControl w:val="0"/>
              <w:autoSpaceDE w:val="0"/>
              <w:autoSpaceDN w:val="0"/>
              <w:spacing w:before="5" w:after="0" w:line="240" w:lineRule="auto"/>
              <w:ind w:right="381"/>
              <w:jc w:val="center"/>
              <w:rPr>
                <w:rFonts w:ascii="Arial" w:eastAsia="Arial" w:hAnsi="Arial" w:cs="Arial"/>
              </w:rPr>
            </w:pPr>
            <w:r w:rsidRPr="00155F52">
              <w:rPr>
                <w:rFonts w:ascii="Arial" w:eastAsia="Arial" w:hAnsi="Arial" w:cs="Arial"/>
              </w:rPr>
              <w:t>B2</w:t>
            </w:r>
          </w:p>
        </w:tc>
        <w:tc>
          <w:tcPr>
            <w:tcW w:w="1113" w:type="dxa"/>
            <w:vMerge/>
            <w:tcBorders>
              <w:top w:val="nil"/>
              <w:left w:val="nil"/>
              <w:bottom w:val="nil"/>
              <w:right w:val="nil"/>
            </w:tcBorders>
            <w:shd w:val="clear" w:color="auto" w:fill="FFC0CB"/>
          </w:tcPr>
          <w:p w14:paraId="0097B97D"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6" w:type="dxa"/>
            <w:tcBorders>
              <w:left w:val="nil"/>
            </w:tcBorders>
            <w:shd w:val="clear" w:color="auto" w:fill="FFFF00"/>
          </w:tcPr>
          <w:p w14:paraId="57B3986C" w14:textId="77777777" w:rsidR="00155F52" w:rsidRPr="00155F52" w:rsidRDefault="00155F52" w:rsidP="00155F52">
            <w:pPr>
              <w:widowControl w:val="0"/>
              <w:autoSpaceDE w:val="0"/>
              <w:autoSpaceDN w:val="0"/>
              <w:spacing w:before="5" w:after="0" w:line="240" w:lineRule="auto"/>
              <w:jc w:val="center"/>
              <w:rPr>
                <w:rFonts w:ascii="Arial" w:eastAsia="Arial" w:hAnsi="Arial" w:cs="Arial"/>
              </w:rPr>
            </w:pPr>
            <w:r w:rsidRPr="00155F52">
              <w:rPr>
                <w:rFonts w:ascii="Arial" w:eastAsia="Arial" w:hAnsi="Arial" w:cs="Arial"/>
              </w:rPr>
              <w:t>B</w:t>
            </w:r>
          </w:p>
        </w:tc>
        <w:tc>
          <w:tcPr>
            <w:tcW w:w="1114" w:type="dxa"/>
            <w:vMerge/>
            <w:tcBorders>
              <w:top w:val="nil"/>
              <w:right w:val="nil"/>
            </w:tcBorders>
            <w:shd w:val="clear" w:color="auto" w:fill="F0E68C"/>
          </w:tcPr>
          <w:p w14:paraId="1FEB40ED"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8" w:type="dxa"/>
            <w:tcBorders>
              <w:left w:val="nil"/>
            </w:tcBorders>
            <w:shd w:val="clear" w:color="auto" w:fill="1E90FF"/>
          </w:tcPr>
          <w:p w14:paraId="1F26934D" w14:textId="77777777" w:rsidR="00155F52" w:rsidRPr="00155F52" w:rsidRDefault="00155F52" w:rsidP="00155F52">
            <w:pPr>
              <w:widowControl w:val="0"/>
              <w:autoSpaceDE w:val="0"/>
              <w:autoSpaceDN w:val="0"/>
              <w:spacing w:before="5" w:after="0" w:line="240" w:lineRule="auto"/>
              <w:jc w:val="center"/>
              <w:rPr>
                <w:rFonts w:ascii="Arial" w:eastAsia="Arial" w:hAnsi="Arial" w:cs="Arial"/>
              </w:rPr>
            </w:pPr>
            <w:r w:rsidRPr="00155F52">
              <w:rPr>
                <w:rFonts w:ascii="Arial" w:eastAsia="Arial" w:hAnsi="Arial" w:cs="Arial"/>
              </w:rPr>
              <w:t>B</w:t>
            </w:r>
          </w:p>
        </w:tc>
        <w:tc>
          <w:tcPr>
            <w:tcW w:w="1114" w:type="dxa"/>
            <w:vMerge/>
            <w:tcBorders>
              <w:top w:val="nil"/>
              <w:right w:val="nil"/>
            </w:tcBorders>
            <w:shd w:val="clear" w:color="auto" w:fill="AFEEEE"/>
          </w:tcPr>
          <w:p w14:paraId="25EDA43A"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2051" w:type="dxa"/>
            <w:vMerge/>
            <w:tcBorders>
              <w:top w:val="nil"/>
              <w:left w:val="nil"/>
              <w:right w:val="nil"/>
            </w:tcBorders>
            <w:shd w:val="clear" w:color="auto" w:fill="D2B48C"/>
          </w:tcPr>
          <w:p w14:paraId="28C201D7"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r>
      <w:tr w:rsidR="00155F52" w:rsidRPr="00155F52" w14:paraId="61E2DBFC" w14:textId="77777777" w:rsidTr="00D92596">
        <w:trPr>
          <w:trHeight w:val="487"/>
          <w:tblCellSpacing w:w="14" w:type="dxa"/>
        </w:trPr>
        <w:tc>
          <w:tcPr>
            <w:tcW w:w="1063" w:type="dxa"/>
            <w:tcBorders>
              <w:left w:val="nil"/>
              <w:right w:val="nil"/>
            </w:tcBorders>
            <w:shd w:val="clear" w:color="auto" w:fill="F08080"/>
          </w:tcPr>
          <w:p w14:paraId="212F593D" w14:textId="77777777" w:rsidR="00155F52" w:rsidRPr="00155F52" w:rsidRDefault="00155F52" w:rsidP="00155F52">
            <w:pPr>
              <w:widowControl w:val="0"/>
              <w:autoSpaceDE w:val="0"/>
              <w:autoSpaceDN w:val="0"/>
              <w:spacing w:before="5" w:after="0" w:line="240" w:lineRule="auto"/>
              <w:ind w:right="381"/>
              <w:jc w:val="center"/>
              <w:rPr>
                <w:rFonts w:ascii="Arial" w:eastAsia="Arial" w:hAnsi="Arial" w:cs="Arial"/>
              </w:rPr>
            </w:pPr>
            <w:r w:rsidRPr="00155F52">
              <w:rPr>
                <w:rFonts w:ascii="Arial" w:eastAsia="Arial" w:hAnsi="Arial" w:cs="Arial"/>
              </w:rPr>
              <w:t>B3</w:t>
            </w:r>
          </w:p>
        </w:tc>
        <w:tc>
          <w:tcPr>
            <w:tcW w:w="1113" w:type="dxa"/>
            <w:vMerge/>
            <w:tcBorders>
              <w:top w:val="nil"/>
              <w:left w:val="nil"/>
              <w:bottom w:val="nil"/>
              <w:right w:val="nil"/>
            </w:tcBorders>
            <w:shd w:val="clear" w:color="auto" w:fill="FFC0CB"/>
          </w:tcPr>
          <w:p w14:paraId="307F4F7B"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6" w:type="dxa"/>
            <w:tcBorders>
              <w:left w:val="nil"/>
            </w:tcBorders>
            <w:shd w:val="clear" w:color="auto" w:fill="FFFF00"/>
          </w:tcPr>
          <w:p w14:paraId="1F18DEC1" w14:textId="77777777" w:rsidR="00155F52" w:rsidRPr="00155F52" w:rsidRDefault="00155F52" w:rsidP="00155F52">
            <w:pPr>
              <w:widowControl w:val="0"/>
              <w:autoSpaceDE w:val="0"/>
              <w:autoSpaceDN w:val="0"/>
              <w:spacing w:before="5" w:after="0" w:line="240" w:lineRule="auto"/>
              <w:ind w:right="214"/>
              <w:jc w:val="center"/>
              <w:rPr>
                <w:rFonts w:ascii="Arial" w:eastAsia="Arial" w:hAnsi="Arial" w:cs="Arial"/>
              </w:rPr>
            </w:pPr>
            <w:r w:rsidRPr="00155F52">
              <w:rPr>
                <w:rFonts w:ascii="Arial" w:eastAsia="Arial" w:hAnsi="Arial" w:cs="Arial"/>
              </w:rPr>
              <w:t>B-</w:t>
            </w:r>
          </w:p>
        </w:tc>
        <w:tc>
          <w:tcPr>
            <w:tcW w:w="1114" w:type="dxa"/>
            <w:vMerge/>
            <w:tcBorders>
              <w:top w:val="nil"/>
              <w:right w:val="nil"/>
            </w:tcBorders>
            <w:shd w:val="clear" w:color="auto" w:fill="F0E68C"/>
          </w:tcPr>
          <w:p w14:paraId="18264704"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8" w:type="dxa"/>
            <w:tcBorders>
              <w:left w:val="nil"/>
            </w:tcBorders>
            <w:shd w:val="clear" w:color="auto" w:fill="1E90FF"/>
          </w:tcPr>
          <w:p w14:paraId="0F7F2113" w14:textId="77777777" w:rsidR="00155F52" w:rsidRPr="00155F52" w:rsidRDefault="00155F52" w:rsidP="00155F52">
            <w:pPr>
              <w:widowControl w:val="0"/>
              <w:autoSpaceDE w:val="0"/>
              <w:autoSpaceDN w:val="0"/>
              <w:spacing w:before="5" w:after="0" w:line="240" w:lineRule="auto"/>
              <w:ind w:right="369"/>
              <w:jc w:val="center"/>
              <w:rPr>
                <w:rFonts w:ascii="Arial" w:eastAsia="Arial" w:hAnsi="Arial" w:cs="Arial"/>
              </w:rPr>
            </w:pPr>
            <w:r w:rsidRPr="00155F52">
              <w:rPr>
                <w:rFonts w:ascii="Arial" w:eastAsia="Arial" w:hAnsi="Arial" w:cs="Arial"/>
              </w:rPr>
              <w:t>B-</w:t>
            </w:r>
          </w:p>
        </w:tc>
        <w:tc>
          <w:tcPr>
            <w:tcW w:w="1114" w:type="dxa"/>
            <w:vMerge/>
            <w:tcBorders>
              <w:top w:val="nil"/>
              <w:right w:val="nil"/>
            </w:tcBorders>
            <w:shd w:val="clear" w:color="auto" w:fill="AFEEEE"/>
          </w:tcPr>
          <w:p w14:paraId="1B24875C"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2051" w:type="dxa"/>
            <w:vMerge/>
            <w:tcBorders>
              <w:top w:val="nil"/>
              <w:left w:val="nil"/>
              <w:right w:val="nil"/>
            </w:tcBorders>
            <w:shd w:val="clear" w:color="auto" w:fill="D2B48C"/>
          </w:tcPr>
          <w:p w14:paraId="63698366"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r>
      <w:tr w:rsidR="00155F52" w:rsidRPr="00155F52" w14:paraId="542E5340" w14:textId="77777777" w:rsidTr="00D92596">
        <w:trPr>
          <w:trHeight w:val="487"/>
          <w:tblCellSpacing w:w="14" w:type="dxa"/>
        </w:trPr>
        <w:tc>
          <w:tcPr>
            <w:tcW w:w="1063" w:type="dxa"/>
            <w:tcBorders>
              <w:left w:val="nil"/>
              <w:right w:val="nil"/>
            </w:tcBorders>
            <w:shd w:val="clear" w:color="auto" w:fill="F08080"/>
          </w:tcPr>
          <w:p w14:paraId="571E3D05" w14:textId="77777777" w:rsidR="00155F52" w:rsidRPr="00155F52" w:rsidRDefault="00155F52" w:rsidP="00155F52">
            <w:pPr>
              <w:widowControl w:val="0"/>
              <w:autoSpaceDE w:val="0"/>
              <w:autoSpaceDN w:val="0"/>
              <w:spacing w:before="5" w:after="0" w:line="240" w:lineRule="auto"/>
              <w:ind w:right="258"/>
              <w:jc w:val="right"/>
              <w:rPr>
                <w:rFonts w:ascii="Arial" w:eastAsia="Arial" w:hAnsi="Arial" w:cs="Arial"/>
              </w:rPr>
            </w:pPr>
            <w:r w:rsidRPr="00155F52">
              <w:rPr>
                <w:rFonts w:ascii="Arial" w:eastAsia="Arial" w:hAnsi="Arial" w:cs="Arial"/>
              </w:rPr>
              <w:t>Caa1</w:t>
            </w:r>
          </w:p>
        </w:tc>
        <w:tc>
          <w:tcPr>
            <w:tcW w:w="1113" w:type="dxa"/>
            <w:vMerge/>
            <w:tcBorders>
              <w:top w:val="nil"/>
              <w:left w:val="nil"/>
              <w:bottom w:val="nil"/>
              <w:right w:val="nil"/>
            </w:tcBorders>
            <w:shd w:val="clear" w:color="auto" w:fill="FFC0CB"/>
          </w:tcPr>
          <w:p w14:paraId="3E17C6ED"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6" w:type="dxa"/>
            <w:tcBorders>
              <w:left w:val="nil"/>
            </w:tcBorders>
            <w:shd w:val="clear" w:color="auto" w:fill="FFFF00"/>
          </w:tcPr>
          <w:p w14:paraId="31375155" w14:textId="77777777" w:rsidR="00155F52" w:rsidRPr="00155F52" w:rsidRDefault="00155F52" w:rsidP="00155F52">
            <w:pPr>
              <w:widowControl w:val="0"/>
              <w:autoSpaceDE w:val="0"/>
              <w:autoSpaceDN w:val="0"/>
              <w:spacing w:before="5" w:after="0" w:line="240" w:lineRule="auto"/>
              <w:ind w:right="215"/>
              <w:jc w:val="center"/>
              <w:rPr>
                <w:rFonts w:ascii="Arial" w:eastAsia="Arial" w:hAnsi="Arial" w:cs="Arial"/>
              </w:rPr>
            </w:pPr>
            <w:r w:rsidRPr="00155F52">
              <w:rPr>
                <w:rFonts w:ascii="Arial" w:eastAsia="Arial" w:hAnsi="Arial" w:cs="Arial"/>
              </w:rPr>
              <w:t>CCC+</w:t>
            </w:r>
          </w:p>
        </w:tc>
        <w:tc>
          <w:tcPr>
            <w:tcW w:w="1114" w:type="dxa"/>
            <w:vMerge w:val="restart"/>
            <w:tcBorders>
              <w:bottom w:val="nil"/>
              <w:right w:val="nil"/>
            </w:tcBorders>
            <w:shd w:val="clear" w:color="auto" w:fill="F0E68C"/>
          </w:tcPr>
          <w:p w14:paraId="3237FE8D"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292D2471" w14:textId="77777777" w:rsidR="00155F52" w:rsidRPr="00155F52" w:rsidRDefault="00155F52" w:rsidP="00155F52">
            <w:pPr>
              <w:widowControl w:val="0"/>
              <w:autoSpaceDE w:val="0"/>
              <w:autoSpaceDN w:val="0"/>
              <w:spacing w:before="9" w:after="0" w:line="240" w:lineRule="auto"/>
              <w:rPr>
                <w:rFonts w:ascii="Arial" w:eastAsia="Arial" w:hAnsi="Arial" w:cs="Arial"/>
                <w:b/>
                <w:sz w:val="33"/>
              </w:rPr>
            </w:pPr>
          </w:p>
          <w:p w14:paraId="43DBC5E3" w14:textId="77777777" w:rsidR="00155F52" w:rsidRPr="00155F52" w:rsidRDefault="00155F52" w:rsidP="00155F52">
            <w:pPr>
              <w:widowControl w:val="0"/>
              <w:autoSpaceDE w:val="0"/>
              <w:autoSpaceDN w:val="0"/>
              <w:spacing w:after="0" w:line="240" w:lineRule="auto"/>
              <w:jc w:val="center"/>
              <w:rPr>
                <w:rFonts w:ascii="Arial" w:eastAsia="Arial" w:hAnsi="Arial" w:cs="Arial"/>
              </w:rPr>
            </w:pPr>
            <w:r w:rsidRPr="00155F52">
              <w:rPr>
                <w:rFonts w:ascii="Arial" w:eastAsia="Arial" w:hAnsi="Arial" w:cs="Arial"/>
              </w:rPr>
              <w:t>C</w:t>
            </w:r>
          </w:p>
        </w:tc>
        <w:tc>
          <w:tcPr>
            <w:tcW w:w="1078" w:type="dxa"/>
            <w:vMerge w:val="restart"/>
            <w:tcBorders>
              <w:left w:val="nil"/>
              <w:bottom w:val="nil"/>
            </w:tcBorders>
            <w:shd w:val="clear" w:color="auto" w:fill="1E90FF"/>
          </w:tcPr>
          <w:p w14:paraId="61437034"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73345374" w14:textId="77777777" w:rsidR="00155F52" w:rsidRPr="00155F52" w:rsidRDefault="00155F52" w:rsidP="00155F52">
            <w:pPr>
              <w:widowControl w:val="0"/>
              <w:autoSpaceDE w:val="0"/>
              <w:autoSpaceDN w:val="0"/>
              <w:spacing w:before="9" w:after="0" w:line="240" w:lineRule="auto"/>
              <w:rPr>
                <w:rFonts w:ascii="Arial" w:eastAsia="Arial" w:hAnsi="Arial" w:cs="Arial"/>
                <w:b/>
                <w:sz w:val="33"/>
              </w:rPr>
            </w:pPr>
          </w:p>
          <w:p w14:paraId="39727DCE" w14:textId="77777777" w:rsidR="00155F52" w:rsidRPr="00155F52" w:rsidRDefault="00155F52" w:rsidP="00155F52">
            <w:pPr>
              <w:widowControl w:val="0"/>
              <w:autoSpaceDE w:val="0"/>
              <w:autoSpaceDN w:val="0"/>
              <w:spacing w:after="0" w:line="240" w:lineRule="auto"/>
              <w:rPr>
                <w:rFonts w:ascii="Arial" w:eastAsia="Arial" w:hAnsi="Arial" w:cs="Arial"/>
              </w:rPr>
            </w:pPr>
            <w:r w:rsidRPr="00155F52">
              <w:rPr>
                <w:rFonts w:ascii="Arial" w:eastAsia="Arial" w:hAnsi="Arial" w:cs="Arial"/>
              </w:rPr>
              <w:t>CCC</w:t>
            </w:r>
          </w:p>
        </w:tc>
        <w:tc>
          <w:tcPr>
            <w:tcW w:w="1114" w:type="dxa"/>
            <w:vMerge w:val="restart"/>
            <w:tcBorders>
              <w:bottom w:val="nil"/>
              <w:right w:val="nil"/>
            </w:tcBorders>
            <w:shd w:val="clear" w:color="auto" w:fill="AFEEEE"/>
          </w:tcPr>
          <w:p w14:paraId="78511AA1"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5A7787AD" w14:textId="77777777" w:rsidR="00155F52" w:rsidRPr="00155F52" w:rsidRDefault="00155F52" w:rsidP="00155F52">
            <w:pPr>
              <w:widowControl w:val="0"/>
              <w:autoSpaceDE w:val="0"/>
              <w:autoSpaceDN w:val="0"/>
              <w:spacing w:before="9" w:after="0" w:line="240" w:lineRule="auto"/>
              <w:rPr>
                <w:rFonts w:ascii="Arial" w:eastAsia="Arial" w:hAnsi="Arial" w:cs="Arial"/>
                <w:b/>
                <w:sz w:val="33"/>
              </w:rPr>
            </w:pPr>
          </w:p>
          <w:p w14:paraId="369CD4FC" w14:textId="77777777" w:rsidR="00155F52" w:rsidRPr="00155F52" w:rsidRDefault="00155F52" w:rsidP="00155F52">
            <w:pPr>
              <w:widowControl w:val="0"/>
              <w:autoSpaceDE w:val="0"/>
              <w:autoSpaceDN w:val="0"/>
              <w:spacing w:after="0" w:line="240" w:lineRule="auto"/>
              <w:jc w:val="center"/>
              <w:rPr>
                <w:rFonts w:ascii="Arial" w:eastAsia="Arial" w:hAnsi="Arial" w:cs="Arial"/>
              </w:rPr>
            </w:pPr>
            <w:r w:rsidRPr="00155F52">
              <w:rPr>
                <w:rFonts w:ascii="Arial" w:eastAsia="Arial" w:hAnsi="Arial" w:cs="Arial"/>
              </w:rPr>
              <w:t>C</w:t>
            </w:r>
          </w:p>
        </w:tc>
        <w:tc>
          <w:tcPr>
            <w:tcW w:w="2051" w:type="dxa"/>
            <w:tcBorders>
              <w:left w:val="nil"/>
              <w:right w:val="nil"/>
            </w:tcBorders>
            <w:shd w:val="clear" w:color="auto" w:fill="D2B48C"/>
          </w:tcPr>
          <w:p w14:paraId="39A398EB" w14:textId="77777777" w:rsidR="00155F52" w:rsidRPr="00155F52" w:rsidRDefault="00155F52" w:rsidP="00155F52">
            <w:pPr>
              <w:widowControl w:val="0"/>
              <w:autoSpaceDE w:val="0"/>
              <w:autoSpaceDN w:val="0"/>
              <w:spacing w:before="5" w:after="0" w:line="240" w:lineRule="auto"/>
              <w:ind w:right="191"/>
              <w:jc w:val="center"/>
              <w:rPr>
                <w:rFonts w:ascii="Arial" w:eastAsia="Arial" w:hAnsi="Arial" w:cs="Arial"/>
              </w:rPr>
            </w:pPr>
            <w:r w:rsidRPr="00155F52">
              <w:rPr>
                <w:rFonts w:ascii="Arial" w:eastAsia="Arial" w:hAnsi="Arial" w:cs="Arial"/>
              </w:rPr>
              <w:t>Substantial</w:t>
            </w:r>
            <w:r w:rsidRPr="00155F52">
              <w:rPr>
                <w:rFonts w:ascii="Arial" w:eastAsia="Arial" w:hAnsi="Arial" w:cs="Arial"/>
                <w:spacing w:val="-3"/>
              </w:rPr>
              <w:t xml:space="preserve"> </w:t>
            </w:r>
            <w:r w:rsidRPr="00155F52">
              <w:rPr>
                <w:rFonts w:ascii="Arial" w:eastAsia="Arial" w:hAnsi="Arial" w:cs="Arial"/>
              </w:rPr>
              <w:t>risks</w:t>
            </w:r>
          </w:p>
        </w:tc>
      </w:tr>
      <w:tr w:rsidR="00155F52" w:rsidRPr="00155F52" w14:paraId="248ECF61" w14:textId="77777777" w:rsidTr="00D92596">
        <w:trPr>
          <w:trHeight w:val="739"/>
          <w:tblCellSpacing w:w="14" w:type="dxa"/>
        </w:trPr>
        <w:tc>
          <w:tcPr>
            <w:tcW w:w="1063" w:type="dxa"/>
            <w:tcBorders>
              <w:left w:val="nil"/>
              <w:right w:val="nil"/>
            </w:tcBorders>
            <w:shd w:val="clear" w:color="auto" w:fill="F08080"/>
          </w:tcPr>
          <w:p w14:paraId="103C9CF6" w14:textId="77777777" w:rsidR="00155F52" w:rsidRPr="00155F52" w:rsidRDefault="00155F52" w:rsidP="00155F52">
            <w:pPr>
              <w:widowControl w:val="0"/>
              <w:autoSpaceDE w:val="0"/>
              <w:autoSpaceDN w:val="0"/>
              <w:spacing w:before="132" w:after="0" w:line="240" w:lineRule="auto"/>
              <w:ind w:right="259"/>
              <w:jc w:val="right"/>
              <w:rPr>
                <w:rFonts w:ascii="Arial" w:eastAsia="Arial" w:hAnsi="Arial" w:cs="Arial"/>
              </w:rPr>
            </w:pPr>
            <w:r w:rsidRPr="00155F52">
              <w:rPr>
                <w:rFonts w:ascii="Arial" w:eastAsia="Arial" w:hAnsi="Arial" w:cs="Arial"/>
              </w:rPr>
              <w:t>Caa2</w:t>
            </w:r>
          </w:p>
        </w:tc>
        <w:tc>
          <w:tcPr>
            <w:tcW w:w="1113" w:type="dxa"/>
            <w:vMerge/>
            <w:tcBorders>
              <w:top w:val="nil"/>
              <w:left w:val="nil"/>
              <w:bottom w:val="nil"/>
              <w:right w:val="nil"/>
            </w:tcBorders>
            <w:shd w:val="clear" w:color="auto" w:fill="FFC0CB"/>
          </w:tcPr>
          <w:p w14:paraId="005E53A0"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6" w:type="dxa"/>
            <w:tcBorders>
              <w:left w:val="nil"/>
            </w:tcBorders>
            <w:shd w:val="clear" w:color="auto" w:fill="FFFF00"/>
          </w:tcPr>
          <w:p w14:paraId="3DBAD4D3" w14:textId="77777777" w:rsidR="00155F52" w:rsidRPr="00155F52" w:rsidRDefault="00155F52" w:rsidP="00155F52">
            <w:pPr>
              <w:widowControl w:val="0"/>
              <w:autoSpaceDE w:val="0"/>
              <w:autoSpaceDN w:val="0"/>
              <w:spacing w:before="132" w:after="0" w:line="240" w:lineRule="auto"/>
              <w:ind w:right="215"/>
              <w:jc w:val="center"/>
              <w:rPr>
                <w:rFonts w:ascii="Arial" w:eastAsia="Arial" w:hAnsi="Arial" w:cs="Arial"/>
              </w:rPr>
            </w:pPr>
            <w:r w:rsidRPr="00155F52">
              <w:rPr>
                <w:rFonts w:ascii="Arial" w:eastAsia="Arial" w:hAnsi="Arial" w:cs="Arial"/>
              </w:rPr>
              <w:t>CCC</w:t>
            </w:r>
          </w:p>
        </w:tc>
        <w:tc>
          <w:tcPr>
            <w:tcW w:w="1114" w:type="dxa"/>
            <w:vMerge/>
            <w:tcBorders>
              <w:top w:val="nil"/>
              <w:bottom w:val="nil"/>
              <w:right w:val="nil"/>
            </w:tcBorders>
            <w:shd w:val="clear" w:color="auto" w:fill="F0E68C"/>
          </w:tcPr>
          <w:p w14:paraId="4383893B"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8" w:type="dxa"/>
            <w:vMerge/>
            <w:tcBorders>
              <w:top w:val="nil"/>
              <w:left w:val="nil"/>
              <w:bottom w:val="nil"/>
            </w:tcBorders>
            <w:shd w:val="clear" w:color="auto" w:fill="1E90FF"/>
          </w:tcPr>
          <w:p w14:paraId="283477D9"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114" w:type="dxa"/>
            <w:vMerge/>
            <w:tcBorders>
              <w:top w:val="nil"/>
              <w:bottom w:val="nil"/>
              <w:right w:val="nil"/>
            </w:tcBorders>
            <w:shd w:val="clear" w:color="auto" w:fill="AFEEEE"/>
          </w:tcPr>
          <w:p w14:paraId="7FE68A62"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2051" w:type="dxa"/>
            <w:tcBorders>
              <w:left w:val="nil"/>
              <w:right w:val="nil"/>
            </w:tcBorders>
            <w:shd w:val="clear" w:color="auto" w:fill="D2B48C"/>
          </w:tcPr>
          <w:p w14:paraId="4A57C78A" w14:textId="77777777" w:rsidR="00155F52" w:rsidRPr="00155F52" w:rsidRDefault="00155F52" w:rsidP="00155F52">
            <w:pPr>
              <w:widowControl w:val="0"/>
              <w:autoSpaceDE w:val="0"/>
              <w:autoSpaceDN w:val="0"/>
              <w:spacing w:before="5" w:after="0" w:line="240" w:lineRule="auto"/>
              <w:rPr>
                <w:rFonts w:ascii="Arial" w:eastAsia="Arial" w:hAnsi="Arial" w:cs="Arial"/>
              </w:rPr>
            </w:pPr>
            <w:r w:rsidRPr="00155F52">
              <w:rPr>
                <w:rFonts w:ascii="Arial" w:eastAsia="Arial" w:hAnsi="Arial" w:cs="Arial"/>
              </w:rPr>
              <w:t>Extremely</w:t>
            </w:r>
            <w:r w:rsidRPr="00155F52">
              <w:rPr>
                <w:rFonts w:ascii="Arial" w:eastAsia="Arial" w:hAnsi="Arial" w:cs="Arial"/>
                <w:spacing w:val="1"/>
              </w:rPr>
              <w:t xml:space="preserve"> </w:t>
            </w:r>
            <w:r w:rsidRPr="00155F52">
              <w:rPr>
                <w:rFonts w:ascii="Arial" w:eastAsia="Arial" w:hAnsi="Arial" w:cs="Arial"/>
              </w:rPr>
              <w:t>speculative</w:t>
            </w:r>
          </w:p>
        </w:tc>
      </w:tr>
      <w:tr w:rsidR="00155F52" w:rsidRPr="00155F52" w14:paraId="5C0574BA" w14:textId="77777777" w:rsidTr="00D92596">
        <w:trPr>
          <w:trHeight w:val="494"/>
          <w:tblCellSpacing w:w="14" w:type="dxa"/>
        </w:trPr>
        <w:tc>
          <w:tcPr>
            <w:tcW w:w="1063" w:type="dxa"/>
            <w:tcBorders>
              <w:left w:val="nil"/>
              <w:bottom w:val="nil"/>
              <w:right w:val="nil"/>
            </w:tcBorders>
            <w:shd w:val="clear" w:color="auto" w:fill="F08080"/>
          </w:tcPr>
          <w:p w14:paraId="15B67257" w14:textId="77777777" w:rsidR="00155F52" w:rsidRPr="00155F52" w:rsidRDefault="00155F52" w:rsidP="00155F52">
            <w:pPr>
              <w:widowControl w:val="0"/>
              <w:autoSpaceDE w:val="0"/>
              <w:autoSpaceDN w:val="0"/>
              <w:spacing w:before="5" w:after="0" w:line="240" w:lineRule="auto"/>
              <w:ind w:right="259"/>
              <w:jc w:val="right"/>
              <w:rPr>
                <w:rFonts w:ascii="Arial" w:eastAsia="Arial" w:hAnsi="Arial" w:cs="Arial"/>
              </w:rPr>
            </w:pPr>
            <w:r w:rsidRPr="00155F52">
              <w:rPr>
                <w:rFonts w:ascii="Arial" w:eastAsia="Arial" w:hAnsi="Arial" w:cs="Arial"/>
              </w:rPr>
              <w:t>Caa3</w:t>
            </w:r>
          </w:p>
        </w:tc>
        <w:tc>
          <w:tcPr>
            <w:tcW w:w="1113" w:type="dxa"/>
            <w:vMerge/>
            <w:tcBorders>
              <w:top w:val="nil"/>
              <w:left w:val="nil"/>
              <w:bottom w:val="nil"/>
              <w:right w:val="nil"/>
            </w:tcBorders>
            <w:shd w:val="clear" w:color="auto" w:fill="FFC0CB"/>
          </w:tcPr>
          <w:p w14:paraId="134D2CA1"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6" w:type="dxa"/>
            <w:tcBorders>
              <w:left w:val="nil"/>
              <w:bottom w:val="nil"/>
            </w:tcBorders>
            <w:shd w:val="clear" w:color="auto" w:fill="FFFF00"/>
          </w:tcPr>
          <w:p w14:paraId="12B5D8BC" w14:textId="77777777" w:rsidR="00155F52" w:rsidRPr="00155F52" w:rsidRDefault="00155F52" w:rsidP="00155F52">
            <w:pPr>
              <w:widowControl w:val="0"/>
              <w:autoSpaceDE w:val="0"/>
              <w:autoSpaceDN w:val="0"/>
              <w:spacing w:before="5" w:after="0" w:line="240" w:lineRule="auto"/>
              <w:ind w:right="214"/>
              <w:jc w:val="center"/>
              <w:rPr>
                <w:rFonts w:ascii="Arial" w:eastAsia="Arial" w:hAnsi="Arial" w:cs="Arial"/>
              </w:rPr>
            </w:pPr>
            <w:r w:rsidRPr="00155F52">
              <w:rPr>
                <w:rFonts w:ascii="Arial" w:eastAsia="Arial" w:hAnsi="Arial" w:cs="Arial"/>
              </w:rPr>
              <w:t>CCC-</w:t>
            </w:r>
          </w:p>
        </w:tc>
        <w:tc>
          <w:tcPr>
            <w:tcW w:w="1114" w:type="dxa"/>
            <w:vMerge/>
            <w:tcBorders>
              <w:top w:val="nil"/>
              <w:bottom w:val="nil"/>
              <w:right w:val="nil"/>
            </w:tcBorders>
            <w:shd w:val="clear" w:color="auto" w:fill="F0E68C"/>
          </w:tcPr>
          <w:p w14:paraId="65485945"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8" w:type="dxa"/>
            <w:vMerge/>
            <w:tcBorders>
              <w:top w:val="nil"/>
              <w:left w:val="nil"/>
              <w:bottom w:val="nil"/>
            </w:tcBorders>
            <w:shd w:val="clear" w:color="auto" w:fill="1E90FF"/>
          </w:tcPr>
          <w:p w14:paraId="23959604"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114" w:type="dxa"/>
            <w:vMerge/>
            <w:tcBorders>
              <w:top w:val="nil"/>
              <w:bottom w:val="nil"/>
              <w:right w:val="nil"/>
            </w:tcBorders>
            <w:shd w:val="clear" w:color="auto" w:fill="AFEEEE"/>
          </w:tcPr>
          <w:p w14:paraId="3CA8EB26"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2051" w:type="dxa"/>
            <w:tcBorders>
              <w:left w:val="nil"/>
              <w:bottom w:val="nil"/>
              <w:right w:val="nil"/>
            </w:tcBorders>
            <w:shd w:val="clear" w:color="auto" w:fill="D2B48C"/>
          </w:tcPr>
          <w:p w14:paraId="3751E686" w14:textId="77777777" w:rsidR="00155F52" w:rsidRPr="00155F52" w:rsidRDefault="00155F52" w:rsidP="00155F52">
            <w:pPr>
              <w:widowControl w:val="0"/>
              <w:autoSpaceDE w:val="0"/>
              <w:autoSpaceDN w:val="0"/>
              <w:spacing w:after="0" w:line="240" w:lineRule="auto"/>
              <w:rPr>
                <w:rFonts w:ascii="Times New Roman" w:eastAsia="Arial" w:hAnsi="Arial" w:cs="Arial"/>
              </w:rPr>
            </w:pPr>
          </w:p>
        </w:tc>
      </w:tr>
    </w:tbl>
    <w:p w14:paraId="585BD970" w14:textId="77777777" w:rsidR="00155F52" w:rsidRPr="00155F52" w:rsidRDefault="00155F52" w:rsidP="00155F52">
      <w:pPr>
        <w:widowControl w:val="0"/>
        <w:autoSpaceDE w:val="0"/>
        <w:autoSpaceDN w:val="0"/>
        <w:spacing w:after="0" w:line="240" w:lineRule="auto"/>
        <w:rPr>
          <w:rFonts w:ascii="Times New Roman" w:eastAsia="Arial" w:hAnsi="Arial" w:cs="Arial"/>
        </w:rPr>
        <w:sectPr w:rsidR="00155F52" w:rsidRPr="00155F52">
          <w:footerReference w:type="default" r:id="rId15"/>
          <w:pgSz w:w="11910" w:h="16840"/>
          <w:pgMar w:top="1580" w:right="1200" w:bottom="1100" w:left="1600" w:header="0" w:footer="918" w:gutter="0"/>
          <w:pgNumType w:start="7"/>
          <w:cols w:space="720"/>
        </w:sectPr>
      </w:pPr>
    </w:p>
    <w:p w14:paraId="56B17DAB" w14:textId="77777777" w:rsidR="00155F52" w:rsidRPr="00155F52" w:rsidRDefault="00155F52" w:rsidP="00155F52">
      <w:pPr>
        <w:widowControl w:val="0"/>
        <w:autoSpaceDE w:val="0"/>
        <w:autoSpaceDN w:val="0"/>
        <w:spacing w:before="1" w:after="0" w:line="240" w:lineRule="auto"/>
        <w:rPr>
          <w:rFonts w:ascii="Arial" w:eastAsia="Arial" w:hAnsi="Arial" w:cs="Arial"/>
          <w:b/>
          <w:sz w:val="12"/>
          <w:szCs w:val="24"/>
        </w:rPr>
      </w:pPr>
    </w:p>
    <w:tbl>
      <w:tblPr>
        <w:tblW w:w="0" w:type="auto"/>
        <w:tblInd w:w="13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1063"/>
        <w:gridCol w:w="1113"/>
        <w:gridCol w:w="1076"/>
        <w:gridCol w:w="1114"/>
        <w:gridCol w:w="1078"/>
        <w:gridCol w:w="1114"/>
        <w:gridCol w:w="2051"/>
      </w:tblGrid>
      <w:tr w:rsidR="00155F52" w:rsidRPr="00155F52" w14:paraId="3049F89B" w14:textId="77777777" w:rsidTr="00D92596">
        <w:trPr>
          <w:trHeight w:val="494"/>
        </w:trPr>
        <w:tc>
          <w:tcPr>
            <w:tcW w:w="1063" w:type="dxa"/>
            <w:vMerge w:val="restart"/>
            <w:tcBorders>
              <w:top w:val="nil"/>
              <w:left w:val="nil"/>
              <w:right w:val="single" w:sz="12" w:space="0" w:color="FFFFFF"/>
            </w:tcBorders>
            <w:shd w:val="clear" w:color="auto" w:fill="F08080"/>
          </w:tcPr>
          <w:p w14:paraId="722EFD1B" w14:textId="77777777" w:rsidR="00155F52" w:rsidRPr="00155F52" w:rsidRDefault="00155F52" w:rsidP="00155F52">
            <w:pPr>
              <w:widowControl w:val="0"/>
              <w:autoSpaceDE w:val="0"/>
              <w:autoSpaceDN w:val="0"/>
              <w:spacing w:before="2" w:after="0" w:line="240" w:lineRule="auto"/>
              <w:rPr>
                <w:rFonts w:ascii="Arial" w:eastAsia="Arial" w:hAnsi="Arial" w:cs="Arial"/>
                <w:b/>
                <w:sz w:val="24"/>
              </w:rPr>
            </w:pPr>
          </w:p>
          <w:p w14:paraId="0FB0FBE8" w14:textId="77777777" w:rsidR="00155F52" w:rsidRPr="00155F52" w:rsidRDefault="00155F52" w:rsidP="00155F52">
            <w:pPr>
              <w:widowControl w:val="0"/>
              <w:autoSpaceDE w:val="0"/>
              <w:autoSpaceDN w:val="0"/>
              <w:spacing w:after="0" w:line="240" w:lineRule="auto"/>
              <w:ind w:right="369"/>
              <w:jc w:val="center"/>
              <w:rPr>
                <w:rFonts w:ascii="Arial" w:eastAsia="Arial" w:hAnsi="Arial" w:cs="Arial"/>
              </w:rPr>
            </w:pPr>
            <w:r w:rsidRPr="00155F52">
              <w:rPr>
                <w:rFonts w:ascii="Arial" w:eastAsia="Arial" w:hAnsi="Arial" w:cs="Arial"/>
              </w:rPr>
              <w:t>Ca</w:t>
            </w:r>
          </w:p>
        </w:tc>
        <w:tc>
          <w:tcPr>
            <w:tcW w:w="1113" w:type="dxa"/>
            <w:vMerge w:val="restart"/>
            <w:tcBorders>
              <w:top w:val="nil"/>
              <w:left w:val="single" w:sz="12" w:space="0" w:color="FFFFFF"/>
              <w:bottom w:val="nil"/>
              <w:right w:val="single" w:sz="12" w:space="0" w:color="FFFFFF"/>
            </w:tcBorders>
            <w:shd w:val="clear" w:color="auto" w:fill="FFC0CB"/>
          </w:tcPr>
          <w:p w14:paraId="13BCB9F1" w14:textId="77777777" w:rsidR="00155F52" w:rsidRPr="00155F52" w:rsidRDefault="00155F52" w:rsidP="00155F52">
            <w:pPr>
              <w:widowControl w:val="0"/>
              <w:autoSpaceDE w:val="0"/>
              <w:autoSpaceDN w:val="0"/>
              <w:spacing w:after="0" w:line="240" w:lineRule="auto"/>
              <w:rPr>
                <w:rFonts w:ascii="Times New Roman" w:eastAsia="Arial" w:hAnsi="Arial" w:cs="Arial"/>
              </w:rPr>
            </w:pPr>
          </w:p>
        </w:tc>
        <w:tc>
          <w:tcPr>
            <w:tcW w:w="1076" w:type="dxa"/>
            <w:tcBorders>
              <w:top w:val="nil"/>
              <w:left w:val="single" w:sz="12" w:space="0" w:color="FFFFFF"/>
            </w:tcBorders>
            <w:shd w:val="clear" w:color="auto" w:fill="FFFF00"/>
          </w:tcPr>
          <w:p w14:paraId="4A36110A" w14:textId="77777777" w:rsidR="00155F52" w:rsidRPr="00155F52" w:rsidRDefault="00155F52" w:rsidP="00155F52">
            <w:pPr>
              <w:widowControl w:val="0"/>
              <w:autoSpaceDE w:val="0"/>
              <w:autoSpaceDN w:val="0"/>
              <w:spacing w:before="12" w:after="0" w:line="240" w:lineRule="auto"/>
              <w:ind w:right="340"/>
              <w:jc w:val="center"/>
              <w:rPr>
                <w:rFonts w:ascii="Arial" w:eastAsia="Arial" w:hAnsi="Arial" w:cs="Arial"/>
              </w:rPr>
            </w:pPr>
            <w:r w:rsidRPr="00155F52">
              <w:rPr>
                <w:rFonts w:ascii="Arial" w:eastAsia="Arial" w:hAnsi="Arial" w:cs="Arial"/>
              </w:rPr>
              <w:t>CC</w:t>
            </w:r>
          </w:p>
        </w:tc>
        <w:tc>
          <w:tcPr>
            <w:tcW w:w="1114" w:type="dxa"/>
            <w:vMerge w:val="restart"/>
            <w:tcBorders>
              <w:top w:val="nil"/>
              <w:right w:val="single" w:sz="12" w:space="0" w:color="FFFFFF"/>
            </w:tcBorders>
            <w:shd w:val="clear" w:color="auto" w:fill="F0E68C"/>
          </w:tcPr>
          <w:p w14:paraId="17389935" w14:textId="77777777" w:rsidR="00155F52" w:rsidRPr="00155F52" w:rsidRDefault="00155F52" w:rsidP="00155F52">
            <w:pPr>
              <w:widowControl w:val="0"/>
              <w:autoSpaceDE w:val="0"/>
              <w:autoSpaceDN w:val="0"/>
              <w:spacing w:after="0" w:line="240" w:lineRule="auto"/>
              <w:rPr>
                <w:rFonts w:ascii="Times New Roman" w:eastAsia="Arial" w:hAnsi="Arial" w:cs="Arial"/>
              </w:rPr>
            </w:pPr>
          </w:p>
        </w:tc>
        <w:tc>
          <w:tcPr>
            <w:tcW w:w="1078" w:type="dxa"/>
            <w:vMerge w:val="restart"/>
            <w:tcBorders>
              <w:top w:val="nil"/>
              <w:left w:val="single" w:sz="12" w:space="0" w:color="FFFFFF"/>
            </w:tcBorders>
            <w:shd w:val="clear" w:color="auto" w:fill="1E90FF"/>
          </w:tcPr>
          <w:p w14:paraId="715A414B" w14:textId="77777777" w:rsidR="00155F52" w:rsidRPr="00155F52" w:rsidRDefault="00155F52" w:rsidP="00155F52">
            <w:pPr>
              <w:widowControl w:val="0"/>
              <w:autoSpaceDE w:val="0"/>
              <w:autoSpaceDN w:val="0"/>
              <w:spacing w:after="0" w:line="240" w:lineRule="auto"/>
              <w:rPr>
                <w:rFonts w:ascii="Times New Roman" w:eastAsia="Arial" w:hAnsi="Arial" w:cs="Arial"/>
              </w:rPr>
            </w:pPr>
          </w:p>
        </w:tc>
        <w:tc>
          <w:tcPr>
            <w:tcW w:w="1114" w:type="dxa"/>
            <w:vMerge w:val="restart"/>
            <w:tcBorders>
              <w:top w:val="nil"/>
              <w:right w:val="single" w:sz="12" w:space="0" w:color="FFFFFF"/>
            </w:tcBorders>
            <w:shd w:val="clear" w:color="auto" w:fill="AFEEEE"/>
          </w:tcPr>
          <w:p w14:paraId="2E87DF8B" w14:textId="77777777" w:rsidR="00155F52" w:rsidRPr="00155F52" w:rsidRDefault="00155F52" w:rsidP="00155F52">
            <w:pPr>
              <w:widowControl w:val="0"/>
              <w:autoSpaceDE w:val="0"/>
              <w:autoSpaceDN w:val="0"/>
              <w:spacing w:after="0" w:line="240" w:lineRule="auto"/>
              <w:rPr>
                <w:rFonts w:ascii="Times New Roman" w:eastAsia="Arial" w:hAnsi="Arial" w:cs="Arial"/>
              </w:rPr>
            </w:pPr>
          </w:p>
        </w:tc>
        <w:tc>
          <w:tcPr>
            <w:tcW w:w="2051" w:type="dxa"/>
            <w:vMerge w:val="restart"/>
            <w:tcBorders>
              <w:top w:val="nil"/>
              <w:left w:val="single" w:sz="12" w:space="0" w:color="FFFFFF"/>
              <w:right w:val="nil"/>
            </w:tcBorders>
            <w:shd w:val="clear" w:color="auto" w:fill="D2B48C"/>
          </w:tcPr>
          <w:p w14:paraId="2D97B6BB" w14:textId="77777777" w:rsidR="00155F52" w:rsidRPr="00155F52" w:rsidRDefault="00155F52" w:rsidP="00155F52">
            <w:pPr>
              <w:widowControl w:val="0"/>
              <w:autoSpaceDE w:val="0"/>
              <w:autoSpaceDN w:val="0"/>
              <w:spacing w:before="24" w:after="0" w:line="240" w:lineRule="auto"/>
              <w:ind w:right="87"/>
              <w:jc w:val="center"/>
              <w:rPr>
                <w:rFonts w:ascii="Arial" w:eastAsia="Arial" w:hAnsi="Arial" w:cs="Arial"/>
              </w:rPr>
            </w:pPr>
            <w:r w:rsidRPr="00155F52">
              <w:rPr>
                <w:rFonts w:ascii="Arial" w:eastAsia="Arial" w:hAnsi="Arial" w:cs="Arial"/>
              </w:rPr>
              <w:t>In default with little</w:t>
            </w:r>
            <w:r w:rsidRPr="00155F52">
              <w:rPr>
                <w:rFonts w:ascii="Arial" w:eastAsia="Arial" w:hAnsi="Arial" w:cs="Arial"/>
                <w:spacing w:val="-59"/>
              </w:rPr>
              <w:t xml:space="preserve"> </w:t>
            </w:r>
            <w:r w:rsidRPr="00155F52">
              <w:rPr>
                <w:rFonts w:ascii="Arial" w:eastAsia="Arial" w:hAnsi="Arial" w:cs="Arial"/>
              </w:rPr>
              <w:t>prospect for</w:t>
            </w:r>
            <w:r w:rsidRPr="00155F52">
              <w:rPr>
                <w:rFonts w:ascii="Arial" w:eastAsia="Arial" w:hAnsi="Arial" w:cs="Arial"/>
                <w:spacing w:val="1"/>
              </w:rPr>
              <w:t xml:space="preserve"> </w:t>
            </w:r>
            <w:r w:rsidRPr="00155F52">
              <w:rPr>
                <w:rFonts w:ascii="Arial" w:eastAsia="Arial" w:hAnsi="Arial" w:cs="Arial"/>
              </w:rPr>
              <w:t>recovery</w:t>
            </w:r>
          </w:p>
        </w:tc>
      </w:tr>
      <w:tr w:rsidR="00155F52" w:rsidRPr="00155F52" w14:paraId="5D7E7DF9" w14:textId="77777777" w:rsidTr="00D92596">
        <w:trPr>
          <w:trHeight w:val="487"/>
        </w:trPr>
        <w:tc>
          <w:tcPr>
            <w:tcW w:w="1063" w:type="dxa"/>
            <w:vMerge/>
            <w:tcBorders>
              <w:top w:val="nil"/>
              <w:left w:val="nil"/>
              <w:right w:val="single" w:sz="12" w:space="0" w:color="FFFFFF"/>
            </w:tcBorders>
            <w:shd w:val="clear" w:color="auto" w:fill="F08080"/>
          </w:tcPr>
          <w:p w14:paraId="20D30F87"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113" w:type="dxa"/>
            <w:vMerge/>
            <w:tcBorders>
              <w:top w:val="nil"/>
              <w:left w:val="single" w:sz="12" w:space="0" w:color="FFFFFF"/>
              <w:bottom w:val="nil"/>
              <w:right w:val="single" w:sz="12" w:space="0" w:color="FFFFFF"/>
            </w:tcBorders>
            <w:shd w:val="clear" w:color="auto" w:fill="FFC0CB"/>
          </w:tcPr>
          <w:p w14:paraId="5C0770E1"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6" w:type="dxa"/>
            <w:tcBorders>
              <w:left w:val="single" w:sz="12" w:space="0" w:color="FFFFFF"/>
            </w:tcBorders>
            <w:shd w:val="clear" w:color="auto" w:fill="FFFF00"/>
          </w:tcPr>
          <w:p w14:paraId="2482427A" w14:textId="77777777" w:rsidR="00155F52" w:rsidRPr="00155F52" w:rsidRDefault="00155F52" w:rsidP="00155F52">
            <w:pPr>
              <w:widowControl w:val="0"/>
              <w:autoSpaceDE w:val="0"/>
              <w:autoSpaceDN w:val="0"/>
              <w:spacing w:before="5" w:after="0" w:line="240" w:lineRule="auto"/>
              <w:jc w:val="center"/>
              <w:rPr>
                <w:rFonts w:ascii="Arial" w:eastAsia="Arial" w:hAnsi="Arial" w:cs="Arial"/>
              </w:rPr>
            </w:pPr>
            <w:r w:rsidRPr="00155F52">
              <w:rPr>
                <w:rFonts w:ascii="Arial" w:eastAsia="Arial" w:hAnsi="Arial" w:cs="Arial"/>
              </w:rPr>
              <w:t>C</w:t>
            </w:r>
          </w:p>
        </w:tc>
        <w:tc>
          <w:tcPr>
            <w:tcW w:w="1114" w:type="dxa"/>
            <w:vMerge/>
            <w:tcBorders>
              <w:top w:val="nil"/>
              <w:right w:val="single" w:sz="12" w:space="0" w:color="FFFFFF"/>
            </w:tcBorders>
            <w:shd w:val="clear" w:color="auto" w:fill="F0E68C"/>
          </w:tcPr>
          <w:p w14:paraId="343D1AE3"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8" w:type="dxa"/>
            <w:vMerge/>
            <w:tcBorders>
              <w:top w:val="nil"/>
              <w:left w:val="single" w:sz="12" w:space="0" w:color="FFFFFF"/>
            </w:tcBorders>
            <w:shd w:val="clear" w:color="auto" w:fill="1E90FF"/>
          </w:tcPr>
          <w:p w14:paraId="273D44C4"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114" w:type="dxa"/>
            <w:vMerge/>
            <w:tcBorders>
              <w:top w:val="nil"/>
              <w:right w:val="single" w:sz="12" w:space="0" w:color="FFFFFF"/>
            </w:tcBorders>
            <w:shd w:val="clear" w:color="auto" w:fill="AFEEEE"/>
          </w:tcPr>
          <w:p w14:paraId="7483E5EC"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2051" w:type="dxa"/>
            <w:vMerge/>
            <w:tcBorders>
              <w:top w:val="nil"/>
              <w:left w:val="single" w:sz="12" w:space="0" w:color="FFFFFF"/>
              <w:right w:val="nil"/>
            </w:tcBorders>
            <w:shd w:val="clear" w:color="auto" w:fill="D2B48C"/>
          </w:tcPr>
          <w:p w14:paraId="03187CF5"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r>
      <w:tr w:rsidR="00155F52" w:rsidRPr="00155F52" w14:paraId="3A8A573A" w14:textId="77777777" w:rsidTr="00D92596">
        <w:trPr>
          <w:trHeight w:val="487"/>
        </w:trPr>
        <w:tc>
          <w:tcPr>
            <w:tcW w:w="1063" w:type="dxa"/>
            <w:tcBorders>
              <w:left w:val="nil"/>
              <w:right w:val="single" w:sz="12" w:space="0" w:color="FFFFFF"/>
            </w:tcBorders>
            <w:shd w:val="clear" w:color="auto" w:fill="F08080"/>
          </w:tcPr>
          <w:p w14:paraId="58B3916D" w14:textId="77777777" w:rsidR="00155F52" w:rsidRPr="00155F52" w:rsidRDefault="00155F52" w:rsidP="00155F52">
            <w:pPr>
              <w:widowControl w:val="0"/>
              <w:autoSpaceDE w:val="0"/>
              <w:autoSpaceDN w:val="0"/>
              <w:spacing w:before="5" w:after="0" w:line="240" w:lineRule="auto"/>
              <w:rPr>
                <w:rFonts w:ascii="Arial" w:eastAsia="Arial" w:hAnsi="Arial" w:cs="Arial"/>
              </w:rPr>
            </w:pPr>
            <w:r w:rsidRPr="00155F52">
              <w:rPr>
                <w:rFonts w:ascii="Arial" w:eastAsia="Arial" w:hAnsi="Arial" w:cs="Arial"/>
              </w:rPr>
              <w:t>C</w:t>
            </w:r>
          </w:p>
        </w:tc>
        <w:tc>
          <w:tcPr>
            <w:tcW w:w="1113" w:type="dxa"/>
            <w:vMerge/>
            <w:tcBorders>
              <w:top w:val="nil"/>
              <w:left w:val="single" w:sz="12" w:space="0" w:color="FFFFFF"/>
              <w:bottom w:val="nil"/>
              <w:right w:val="single" w:sz="12" w:space="0" w:color="FFFFFF"/>
            </w:tcBorders>
            <w:shd w:val="clear" w:color="auto" w:fill="FFC0CB"/>
          </w:tcPr>
          <w:p w14:paraId="7BDED684"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6" w:type="dxa"/>
            <w:vMerge w:val="restart"/>
            <w:tcBorders>
              <w:left w:val="single" w:sz="12" w:space="0" w:color="FFFFFF"/>
              <w:bottom w:val="nil"/>
            </w:tcBorders>
            <w:shd w:val="clear" w:color="auto" w:fill="FFFF00"/>
          </w:tcPr>
          <w:p w14:paraId="2ED87094"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4063A386" w14:textId="77777777" w:rsidR="00155F52" w:rsidRPr="00155F52" w:rsidRDefault="00155F52" w:rsidP="00155F52">
            <w:pPr>
              <w:widowControl w:val="0"/>
              <w:autoSpaceDE w:val="0"/>
              <w:autoSpaceDN w:val="0"/>
              <w:spacing w:before="8" w:after="0" w:line="240" w:lineRule="auto"/>
              <w:rPr>
                <w:rFonts w:ascii="Arial" w:eastAsia="Arial" w:hAnsi="Arial" w:cs="Arial"/>
                <w:b/>
              </w:rPr>
            </w:pPr>
          </w:p>
          <w:p w14:paraId="498529A4" w14:textId="77777777" w:rsidR="00155F52" w:rsidRPr="00155F52" w:rsidRDefault="00155F52" w:rsidP="00155F52">
            <w:pPr>
              <w:widowControl w:val="0"/>
              <w:autoSpaceDE w:val="0"/>
              <w:autoSpaceDN w:val="0"/>
              <w:spacing w:before="1" w:after="0" w:line="240" w:lineRule="auto"/>
              <w:jc w:val="center"/>
              <w:rPr>
                <w:rFonts w:ascii="Arial" w:eastAsia="Arial" w:hAnsi="Arial" w:cs="Arial"/>
              </w:rPr>
            </w:pPr>
            <w:r w:rsidRPr="00155F52">
              <w:rPr>
                <w:rFonts w:ascii="Arial" w:eastAsia="Arial" w:hAnsi="Arial" w:cs="Arial"/>
              </w:rPr>
              <w:t>D</w:t>
            </w:r>
          </w:p>
        </w:tc>
        <w:tc>
          <w:tcPr>
            <w:tcW w:w="1114" w:type="dxa"/>
            <w:vMerge w:val="restart"/>
            <w:tcBorders>
              <w:bottom w:val="nil"/>
              <w:right w:val="single" w:sz="12" w:space="0" w:color="FFFFFF"/>
            </w:tcBorders>
            <w:shd w:val="clear" w:color="auto" w:fill="F0E68C"/>
          </w:tcPr>
          <w:p w14:paraId="149B49E1"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246DF34A" w14:textId="77777777" w:rsidR="00155F52" w:rsidRPr="00155F52" w:rsidRDefault="00155F52" w:rsidP="00155F52">
            <w:pPr>
              <w:widowControl w:val="0"/>
              <w:autoSpaceDE w:val="0"/>
              <w:autoSpaceDN w:val="0"/>
              <w:spacing w:before="8" w:after="0" w:line="240" w:lineRule="auto"/>
              <w:rPr>
                <w:rFonts w:ascii="Arial" w:eastAsia="Arial" w:hAnsi="Arial" w:cs="Arial"/>
                <w:b/>
              </w:rPr>
            </w:pPr>
          </w:p>
          <w:p w14:paraId="291B1A5A" w14:textId="77777777" w:rsidR="00155F52" w:rsidRPr="00155F52" w:rsidRDefault="00155F52" w:rsidP="00155F52">
            <w:pPr>
              <w:widowControl w:val="0"/>
              <w:autoSpaceDE w:val="0"/>
              <w:autoSpaceDN w:val="0"/>
              <w:spacing w:before="1" w:after="0" w:line="240" w:lineRule="auto"/>
              <w:jc w:val="center"/>
              <w:rPr>
                <w:rFonts w:ascii="Arial" w:eastAsia="Arial" w:hAnsi="Arial" w:cs="Arial"/>
              </w:rPr>
            </w:pPr>
            <w:r w:rsidRPr="00155F52">
              <w:rPr>
                <w:rFonts w:ascii="Arial" w:eastAsia="Arial" w:hAnsi="Arial" w:cs="Arial"/>
              </w:rPr>
              <w:t>/</w:t>
            </w:r>
          </w:p>
        </w:tc>
        <w:tc>
          <w:tcPr>
            <w:tcW w:w="1078" w:type="dxa"/>
            <w:tcBorders>
              <w:left w:val="single" w:sz="12" w:space="0" w:color="FFFFFF"/>
            </w:tcBorders>
            <w:shd w:val="clear" w:color="auto" w:fill="1E90FF"/>
          </w:tcPr>
          <w:p w14:paraId="0FCEB894" w14:textId="77777777" w:rsidR="00155F52" w:rsidRPr="00155F52" w:rsidRDefault="00155F52" w:rsidP="00155F52">
            <w:pPr>
              <w:widowControl w:val="0"/>
              <w:autoSpaceDE w:val="0"/>
              <w:autoSpaceDN w:val="0"/>
              <w:spacing w:before="5" w:after="0" w:line="240" w:lineRule="auto"/>
              <w:ind w:right="261"/>
              <w:jc w:val="center"/>
              <w:rPr>
                <w:rFonts w:ascii="Arial" w:eastAsia="Arial" w:hAnsi="Arial" w:cs="Arial"/>
              </w:rPr>
            </w:pPr>
            <w:r w:rsidRPr="00155F52">
              <w:rPr>
                <w:rFonts w:ascii="Arial" w:eastAsia="Arial" w:hAnsi="Arial" w:cs="Arial"/>
              </w:rPr>
              <w:t>DDD</w:t>
            </w:r>
          </w:p>
        </w:tc>
        <w:tc>
          <w:tcPr>
            <w:tcW w:w="1114" w:type="dxa"/>
            <w:vMerge w:val="restart"/>
            <w:tcBorders>
              <w:bottom w:val="nil"/>
              <w:right w:val="single" w:sz="12" w:space="0" w:color="FFFFFF"/>
            </w:tcBorders>
            <w:shd w:val="clear" w:color="auto" w:fill="AFEEEE"/>
          </w:tcPr>
          <w:p w14:paraId="088BBCFE"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73DE0ABA" w14:textId="77777777" w:rsidR="00155F52" w:rsidRPr="00155F52" w:rsidRDefault="00155F52" w:rsidP="00155F52">
            <w:pPr>
              <w:widowControl w:val="0"/>
              <w:autoSpaceDE w:val="0"/>
              <w:autoSpaceDN w:val="0"/>
              <w:spacing w:before="8" w:after="0" w:line="240" w:lineRule="auto"/>
              <w:rPr>
                <w:rFonts w:ascii="Arial" w:eastAsia="Arial" w:hAnsi="Arial" w:cs="Arial"/>
                <w:b/>
              </w:rPr>
            </w:pPr>
          </w:p>
          <w:p w14:paraId="284E7317" w14:textId="77777777" w:rsidR="00155F52" w:rsidRPr="00155F52" w:rsidRDefault="00155F52" w:rsidP="00155F52">
            <w:pPr>
              <w:widowControl w:val="0"/>
              <w:autoSpaceDE w:val="0"/>
              <w:autoSpaceDN w:val="0"/>
              <w:spacing w:before="1" w:after="0" w:line="240" w:lineRule="auto"/>
              <w:jc w:val="center"/>
              <w:rPr>
                <w:rFonts w:ascii="Arial" w:eastAsia="Arial" w:hAnsi="Arial" w:cs="Arial"/>
              </w:rPr>
            </w:pPr>
            <w:r w:rsidRPr="00155F52">
              <w:rPr>
                <w:rFonts w:ascii="Arial" w:eastAsia="Arial" w:hAnsi="Arial" w:cs="Arial"/>
              </w:rPr>
              <w:t>/</w:t>
            </w:r>
          </w:p>
        </w:tc>
        <w:tc>
          <w:tcPr>
            <w:tcW w:w="2051" w:type="dxa"/>
            <w:vMerge w:val="restart"/>
            <w:tcBorders>
              <w:left w:val="single" w:sz="12" w:space="0" w:color="FFFFFF"/>
              <w:bottom w:val="nil"/>
              <w:right w:val="nil"/>
            </w:tcBorders>
            <w:shd w:val="clear" w:color="auto" w:fill="D2B48C"/>
          </w:tcPr>
          <w:p w14:paraId="64A1F406" w14:textId="77777777" w:rsidR="00155F52" w:rsidRPr="00155F52" w:rsidRDefault="00155F52" w:rsidP="00155F52">
            <w:pPr>
              <w:widowControl w:val="0"/>
              <w:autoSpaceDE w:val="0"/>
              <w:autoSpaceDN w:val="0"/>
              <w:spacing w:after="0" w:line="240" w:lineRule="auto"/>
              <w:rPr>
                <w:rFonts w:ascii="Arial" w:eastAsia="Arial" w:hAnsi="Arial" w:cs="Arial"/>
                <w:b/>
                <w:sz w:val="24"/>
              </w:rPr>
            </w:pPr>
          </w:p>
          <w:p w14:paraId="341B6CA3" w14:textId="77777777" w:rsidR="00155F52" w:rsidRPr="00155F52" w:rsidRDefault="00155F52" w:rsidP="00155F52">
            <w:pPr>
              <w:widowControl w:val="0"/>
              <w:autoSpaceDE w:val="0"/>
              <w:autoSpaceDN w:val="0"/>
              <w:spacing w:before="8" w:after="0" w:line="240" w:lineRule="auto"/>
              <w:rPr>
                <w:rFonts w:ascii="Arial" w:eastAsia="Arial" w:hAnsi="Arial" w:cs="Arial"/>
                <w:b/>
              </w:rPr>
            </w:pPr>
          </w:p>
          <w:p w14:paraId="1B23769E" w14:textId="77777777" w:rsidR="00155F52" w:rsidRPr="00155F52" w:rsidRDefault="00155F52" w:rsidP="00155F52">
            <w:pPr>
              <w:widowControl w:val="0"/>
              <w:autoSpaceDE w:val="0"/>
              <w:autoSpaceDN w:val="0"/>
              <w:spacing w:before="1" w:after="0" w:line="240" w:lineRule="auto"/>
              <w:rPr>
                <w:rFonts w:ascii="Arial" w:eastAsia="Arial" w:hAnsi="Arial" w:cs="Arial"/>
              </w:rPr>
            </w:pPr>
            <w:r w:rsidRPr="00155F52">
              <w:rPr>
                <w:rFonts w:ascii="Arial" w:eastAsia="Arial" w:hAnsi="Arial" w:cs="Arial"/>
              </w:rPr>
              <w:t>In</w:t>
            </w:r>
            <w:r w:rsidRPr="00155F52">
              <w:rPr>
                <w:rFonts w:ascii="Arial" w:eastAsia="Arial" w:hAnsi="Arial" w:cs="Arial"/>
                <w:spacing w:val="-2"/>
              </w:rPr>
              <w:t xml:space="preserve"> </w:t>
            </w:r>
            <w:r w:rsidRPr="00155F52">
              <w:rPr>
                <w:rFonts w:ascii="Arial" w:eastAsia="Arial" w:hAnsi="Arial" w:cs="Arial"/>
              </w:rPr>
              <w:t>default</w:t>
            </w:r>
          </w:p>
        </w:tc>
      </w:tr>
      <w:tr w:rsidR="00155F52" w:rsidRPr="00155F52" w14:paraId="4DD90B98" w14:textId="77777777" w:rsidTr="00D92596">
        <w:trPr>
          <w:trHeight w:val="480"/>
        </w:trPr>
        <w:tc>
          <w:tcPr>
            <w:tcW w:w="1063" w:type="dxa"/>
            <w:tcBorders>
              <w:left w:val="nil"/>
              <w:right w:val="single" w:sz="12" w:space="0" w:color="FFFFFF"/>
            </w:tcBorders>
            <w:shd w:val="clear" w:color="auto" w:fill="F08080"/>
          </w:tcPr>
          <w:p w14:paraId="68411F04" w14:textId="77777777" w:rsidR="00155F52" w:rsidRPr="00155F52" w:rsidRDefault="00155F52" w:rsidP="00155F52">
            <w:pPr>
              <w:widowControl w:val="0"/>
              <w:autoSpaceDE w:val="0"/>
              <w:autoSpaceDN w:val="0"/>
              <w:spacing w:before="5" w:after="0" w:line="240" w:lineRule="auto"/>
              <w:rPr>
                <w:rFonts w:ascii="Arial" w:eastAsia="Arial" w:hAnsi="Arial" w:cs="Arial"/>
              </w:rPr>
            </w:pPr>
            <w:r w:rsidRPr="00155F52">
              <w:rPr>
                <w:rFonts w:ascii="Arial" w:eastAsia="Arial" w:hAnsi="Arial" w:cs="Arial"/>
              </w:rPr>
              <w:t>/</w:t>
            </w:r>
          </w:p>
        </w:tc>
        <w:tc>
          <w:tcPr>
            <w:tcW w:w="1113" w:type="dxa"/>
            <w:vMerge/>
            <w:tcBorders>
              <w:top w:val="nil"/>
              <w:left w:val="single" w:sz="12" w:space="0" w:color="FFFFFF"/>
              <w:bottom w:val="nil"/>
              <w:right w:val="single" w:sz="12" w:space="0" w:color="FFFFFF"/>
            </w:tcBorders>
            <w:shd w:val="clear" w:color="auto" w:fill="FFC0CB"/>
          </w:tcPr>
          <w:p w14:paraId="254FB937"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6" w:type="dxa"/>
            <w:vMerge/>
            <w:tcBorders>
              <w:top w:val="nil"/>
              <w:left w:val="single" w:sz="12" w:space="0" w:color="FFFFFF"/>
              <w:bottom w:val="nil"/>
            </w:tcBorders>
            <w:shd w:val="clear" w:color="auto" w:fill="FFFF00"/>
          </w:tcPr>
          <w:p w14:paraId="7E8147DF"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114" w:type="dxa"/>
            <w:vMerge/>
            <w:tcBorders>
              <w:top w:val="nil"/>
              <w:bottom w:val="nil"/>
              <w:right w:val="single" w:sz="12" w:space="0" w:color="FFFFFF"/>
            </w:tcBorders>
            <w:shd w:val="clear" w:color="auto" w:fill="F0E68C"/>
          </w:tcPr>
          <w:p w14:paraId="40AF2E7F"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8" w:type="dxa"/>
            <w:tcBorders>
              <w:left w:val="single" w:sz="12" w:space="0" w:color="FFFFFF"/>
              <w:bottom w:val="nil"/>
            </w:tcBorders>
            <w:shd w:val="clear" w:color="auto" w:fill="1E90FF"/>
          </w:tcPr>
          <w:p w14:paraId="1B979AFA" w14:textId="77777777" w:rsidR="00155F52" w:rsidRPr="00155F52" w:rsidRDefault="00155F52" w:rsidP="00155F52">
            <w:pPr>
              <w:widowControl w:val="0"/>
              <w:autoSpaceDE w:val="0"/>
              <w:autoSpaceDN w:val="0"/>
              <w:spacing w:before="5" w:after="0" w:line="240" w:lineRule="auto"/>
              <w:ind w:right="256"/>
              <w:jc w:val="center"/>
              <w:rPr>
                <w:rFonts w:ascii="Arial" w:eastAsia="Arial" w:hAnsi="Arial" w:cs="Arial"/>
              </w:rPr>
            </w:pPr>
            <w:r w:rsidRPr="00155F52">
              <w:rPr>
                <w:rFonts w:ascii="Arial" w:eastAsia="Arial" w:hAnsi="Arial" w:cs="Arial"/>
              </w:rPr>
              <w:t>DD</w:t>
            </w:r>
          </w:p>
        </w:tc>
        <w:tc>
          <w:tcPr>
            <w:tcW w:w="1114" w:type="dxa"/>
            <w:vMerge/>
            <w:tcBorders>
              <w:top w:val="nil"/>
              <w:bottom w:val="nil"/>
              <w:right w:val="single" w:sz="12" w:space="0" w:color="FFFFFF"/>
            </w:tcBorders>
            <w:shd w:val="clear" w:color="auto" w:fill="AFEEEE"/>
          </w:tcPr>
          <w:p w14:paraId="22211E52"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2051" w:type="dxa"/>
            <w:vMerge/>
            <w:tcBorders>
              <w:top w:val="nil"/>
              <w:left w:val="single" w:sz="12" w:space="0" w:color="FFFFFF"/>
              <w:bottom w:val="nil"/>
              <w:right w:val="nil"/>
            </w:tcBorders>
            <w:shd w:val="clear" w:color="auto" w:fill="D2B48C"/>
          </w:tcPr>
          <w:p w14:paraId="6B94FDC9"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r>
      <w:tr w:rsidR="00155F52" w:rsidRPr="00155F52" w14:paraId="0D9E6D41" w14:textId="77777777" w:rsidTr="00D92596">
        <w:trPr>
          <w:trHeight w:val="502"/>
        </w:trPr>
        <w:tc>
          <w:tcPr>
            <w:tcW w:w="1063" w:type="dxa"/>
            <w:tcBorders>
              <w:left w:val="nil"/>
              <w:bottom w:val="nil"/>
              <w:right w:val="single" w:sz="12" w:space="0" w:color="FFFFFF"/>
            </w:tcBorders>
            <w:shd w:val="clear" w:color="auto" w:fill="F08080"/>
          </w:tcPr>
          <w:p w14:paraId="1A9E9E90" w14:textId="77777777" w:rsidR="00155F52" w:rsidRPr="00155F52" w:rsidRDefault="00155F52" w:rsidP="00155F52">
            <w:pPr>
              <w:widowControl w:val="0"/>
              <w:autoSpaceDE w:val="0"/>
              <w:autoSpaceDN w:val="0"/>
              <w:spacing w:before="13" w:after="0" w:line="240" w:lineRule="auto"/>
              <w:rPr>
                <w:rFonts w:ascii="Arial" w:eastAsia="Arial" w:hAnsi="Arial" w:cs="Arial"/>
              </w:rPr>
            </w:pPr>
            <w:r w:rsidRPr="00155F52">
              <w:rPr>
                <w:rFonts w:ascii="Arial" w:eastAsia="Arial" w:hAnsi="Arial" w:cs="Arial"/>
              </w:rPr>
              <w:t>/</w:t>
            </w:r>
          </w:p>
        </w:tc>
        <w:tc>
          <w:tcPr>
            <w:tcW w:w="1113" w:type="dxa"/>
            <w:vMerge/>
            <w:tcBorders>
              <w:top w:val="nil"/>
              <w:left w:val="single" w:sz="12" w:space="0" w:color="FFFFFF"/>
              <w:bottom w:val="nil"/>
              <w:right w:val="single" w:sz="12" w:space="0" w:color="FFFFFF"/>
            </w:tcBorders>
            <w:shd w:val="clear" w:color="auto" w:fill="FFC0CB"/>
          </w:tcPr>
          <w:p w14:paraId="5235B3B5"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6" w:type="dxa"/>
            <w:vMerge/>
            <w:tcBorders>
              <w:top w:val="nil"/>
              <w:left w:val="single" w:sz="12" w:space="0" w:color="FFFFFF"/>
              <w:bottom w:val="nil"/>
            </w:tcBorders>
            <w:shd w:val="clear" w:color="auto" w:fill="FFFF00"/>
          </w:tcPr>
          <w:p w14:paraId="713C05D6"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114" w:type="dxa"/>
            <w:vMerge/>
            <w:tcBorders>
              <w:top w:val="nil"/>
              <w:bottom w:val="nil"/>
              <w:right w:val="single" w:sz="12" w:space="0" w:color="FFFFFF"/>
            </w:tcBorders>
            <w:shd w:val="clear" w:color="auto" w:fill="F0E68C"/>
          </w:tcPr>
          <w:p w14:paraId="26B8CFD7"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1078" w:type="dxa"/>
            <w:tcBorders>
              <w:top w:val="nil"/>
              <w:left w:val="single" w:sz="12" w:space="0" w:color="FFFFFF"/>
              <w:bottom w:val="nil"/>
            </w:tcBorders>
          </w:tcPr>
          <w:p w14:paraId="1B0A3091" w14:textId="77777777" w:rsidR="00155F52" w:rsidRPr="00155F52" w:rsidRDefault="00155F52" w:rsidP="00155F52">
            <w:pPr>
              <w:widowControl w:val="0"/>
              <w:autoSpaceDE w:val="0"/>
              <w:autoSpaceDN w:val="0"/>
              <w:spacing w:after="0" w:line="240" w:lineRule="auto"/>
              <w:rPr>
                <w:rFonts w:ascii="Times New Roman" w:eastAsia="Arial" w:hAnsi="Arial" w:cs="Arial"/>
              </w:rPr>
            </w:pPr>
          </w:p>
        </w:tc>
        <w:tc>
          <w:tcPr>
            <w:tcW w:w="1114" w:type="dxa"/>
            <w:vMerge/>
            <w:tcBorders>
              <w:top w:val="nil"/>
              <w:bottom w:val="nil"/>
              <w:right w:val="single" w:sz="12" w:space="0" w:color="FFFFFF"/>
            </w:tcBorders>
            <w:shd w:val="clear" w:color="auto" w:fill="AFEEEE"/>
          </w:tcPr>
          <w:p w14:paraId="70F5ECC3"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c>
          <w:tcPr>
            <w:tcW w:w="2051" w:type="dxa"/>
            <w:vMerge/>
            <w:tcBorders>
              <w:top w:val="nil"/>
              <w:left w:val="single" w:sz="12" w:space="0" w:color="FFFFFF"/>
              <w:bottom w:val="nil"/>
              <w:right w:val="nil"/>
            </w:tcBorders>
            <w:shd w:val="clear" w:color="auto" w:fill="D2B48C"/>
          </w:tcPr>
          <w:p w14:paraId="2588D6A0"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pPr>
          </w:p>
        </w:tc>
      </w:tr>
    </w:tbl>
    <w:p w14:paraId="11D201C6" w14:textId="77777777" w:rsidR="00155F52" w:rsidRPr="00155F52" w:rsidRDefault="00155F52" w:rsidP="00155F52">
      <w:pPr>
        <w:widowControl w:val="0"/>
        <w:autoSpaceDE w:val="0"/>
        <w:autoSpaceDN w:val="0"/>
        <w:spacing w:after="0" w:line="240" w:lineRule="auto"/>
        <w:rPr>
          <w:rFonts w:ascii="Arial" w:eastAsia="Arial" w:hAnsi="Arial" w:cs="Arial"/>
          <w:sz w:val="2"/>
          <w:szCs w:val="2"/>
        </w:rPr>
        <w:sectPr w:rsidR="00155F52" w:rsidRPr="00155F52">
          <w:pgSz w:w="11910" w:h="16840"/>
          <w:pgMar w:top="1580" w:right="1200" w:bottom="1100" w:left="1600" w:header="0" w:footer="918" w:gutter="0"/>
          <w:cols w:space="720"/>
        </w:sectPr>
      </w:pPr>
    </w:p>
    <w:p w14:paraId="111679DC" w14:textId="7719B8AA" w:rsidR="00155F52" w:rsidRPr="00155F52" w:rsidRDefault="00155F52" w:rsidP="00155F52">
      <w:pPr>
        <w:widowControl w:val="0"/>
        <w:autoSpaceDE w:val="0"/>
        <w:autoSpaceDN w:val="0"/>
        <w:spacing w:before="117" w:after="0" w:line="240" w:lineRule="auto"/>
        <w:ind w:right="457"/>
        <w:jc w:val="right"/>
        <w:rPr>
          <w:rFonts w:ascii="Arial" w:eastAsia="Arial" w:hAnsi="Arial" w:cs="Arial"/>
          <w:b/>
        </w:rPr>
      </w:pPr>
      <w:r w:rsidRPr="00155F52">
        <w:rPr>
          <w:rFonts w:ascii="Arial" w:eastAsia="Arial" w:hAnsi="Arial" w:cs="Arial"/>
          <w:b/>
        </w:rPr>
        <w:lastRenderedPageBreak/>
        <w:t xml:space="preserve">Appendix </w:t>
      </w:r>
      <w:r w:rsidR="00285E60">
        <w:rPr>
          <w:rFonts w:ascii="Arial" w:eastAsia="Arial" w:hAnsi="Arial" w:cs="Arial"/>
          <w:b/>
        </w:rPr>
        <w:t>D</w:t>
      </w:r>
    </w:p>
    <w:p w14:paraId="264DA51F" w14:textId="77777777" w:rsidR="00155F52" w:rsidRPr="00155F52" w:rsidRDefault="00155F52" w:rsidP="00155F52">
      <w:pPr>
        <w:widowControl w:val="0"/>
        <w:autoSpaceDE w:val="0"/>
        <w:autoSpaceDN w:val="0"/>
        <w:spacing w:before="4" w:after="0" w:line="240" w:lineRule="auto"/>
        <w:rPr>
          <w:rFonts w:ascii="Arial" w:eastAsia="Arial" w:hAnsi="Arial" w:cs="Arial"/>
          <w:b/>
          <w:sz w:val="19"/>
          <w:szCs w:val="24"/>
        </w:rPr>
      </w:pPr>
    </w:p>
    <w:p w14:paraId="0BC45295" w14:textId="77777777" w:rsidR="00155F52" w:rsidRPr="00155F52" w:rsidRDefault="00155F52" w:rsidP="00155F52">
      <w:pPr>
        <w:widowControl w:val="0"/>
        <w:autoSpaceDE w:val="0"/>
        <w:autoSpaceDN w:val="0"/>
        <w:spacing w:before="1" w:after="0" w:line="240" w:lineRule="auto"/>
        <w:outlineLvl w:val="0"/>
        <w:rPr>
          <w:rFonts w:ascii="Arial" w:eastAsia="Arial" w:hAnsi="Arial" w:cs="Arial"/>
          <w:b/>
          <w:bCs/>
          <w:sz w:val="24"/>
          <w:szCs w:val="24"/>
        </w:rPr>
      </w:pPr>
      <w:r w:rsidRPr="00155F52">
        <w:rPr>
          <w:rFonts w:ascii="Arial" w:eastAsia="Arial" w:hAnsi="Arial" w:cs="Arial"/>
          <w:b/>
          <w:bCs/>
          <w:sz w:val="24"/>
          <w:szCs w:val="24"/>
        </w:rPr>
        <w:t>TREASURY</w:t>
      </w:r>
      <w:r w:rsidRPr="00155F52">
        <w:rPr>
          <w:rFonts w:ascii="Arial" w:eastAsia="Arial" w:hAnsi="Arial" w:cs="Arial"/>
          <w:b/>
          <w:bCs/>
          <w:spacing w:val="-7"/>
          <w:sz w:val="24"/>
          <w:szCs w:val="24"/>
        </w:rPr>
        <w:t xml:space="preserve"> </w:t>
      </w:r>
      <w:r w:rsidRPr="00155F52">
        <w:rPr>
          <w:rFonts w:ascii="Arial" w:eastAsia="Arial" w:hAnsi="Arial" w:cs="Arial"/>
          <w:b/>
          <w:bCs/>
          <w:sz w:val="24"/>
          <w:szCs w:val="24"/>
        </w:rPr>
        <w:t>MANAGEMENT</w:t>
      </w:r>
      <w:r w:rsidRPr="00155F52">
        <w:rPr>
          <w:rFonts w:ascii="Arial" w:eastAsia="Arial" w:hAnsi="Arial" w:cs="Arial"/>
          <w:b/>
          <w:bCs/>
          <w:spacing w:val="-4"/>
          <w:sz w:val="24"/>
          <w:szCs w:val="24"/>
        </w:rPr>
        <w:t xml:space="preserve"> </w:t>
      </w:r>
      <w:r w:rsidRPr="00155F52">
        <w:rPr>
          <w:rFonts w:ascii="Arial" w:eastAsia="Arial" w:hAnsi="Arial" w:cs="Arial"/>
          <w:b/>
          <w:bCs/>
          <w:sz w:val="24"/>
          <w:szCs w:val="24"/>
        </w:rPr>
        <w:t>INDICATORS</w:t>
      </w:r>
    </w:p>
    <w:p w14:paraId="05A0DA13" w14:textId="77777777" w:rsidR="00155F52" w:rsidRPr="00155F52" w:rsidRDefault="00155F52" w:rsidP="00155F52">
      <w:pPr>
        <w:widowControl w:val="0"/>
        <w:autoSpaceDE w:val="0"/>
        <w:autoSpaceDN w:val="0"/>
        <w:spacing w:before="220" w:after="0" w:line="240" w:lineRule="auto"/>
        <w:rPr>
          <w:rFonts w:ascii="Arial" w:eastAsia="Arial" w:hAnsi="Arial" w:cs="Arial"/>
          <w:sz w:val="24"/>
          <w:szCs w:val="24"/>
        </w:rPr>
      </w:pPr>
      <w:r w:rsidRPr="00155F52">
        <w:rPr>
          <w:rFonts w:ascii="Arial" w:eastAsia="Arial" w:hAnsi="Arial" w:cs="Arial"/>
          <w:sz w:val="24"/>
          <w:szCs w:val="24"/>
          <w:u w:val="single"/>
        </w:rPr>
        <w:t>Gross</w:t>
      </w:r>
      <w:r w:rsidRPr="00155F52">
        <w:rPr>
          <w:rFonts w:ascii="Arial" w:eastAsia="Arial" w:hAnsi="Arial" w:cs="Arial"/>
          <w:spacing w:val="-4"/>
          <w:sz w:val="24"/>
          <w:szCs w:val="24"/>
          <w:u w:val="single"/>
        </w:rPr>
        <w:t xml:space="preserve"> </w:t>
      </w:r>
      <w:r w:rsidRPr="00155F52">
        <w:rPr>
          <w:rFonts w:ascii="Arial" w:eastAsia="Arial" w:hAnsi="Arial" w:cs="Arial"/>
          <w:sz w:val="24"/>
          <w:szCs w:val="24"/>
          <w:u w:val="single"/>
        </w:rPr>
        <w:t>Debt</w:t>
      </w:r>
      <w:r w:rsidRPr="00155F52">
        <w:rPr>
          <w:rFonts w:ascii="Arial" w:eastAsia="Arial" w:hAnsi="Arial" w:cs="Arial"/>
          <w:spacing w:val="-5"/>
          <w:sz w:val="24"/>
          <w:szCs w:val="24"/>
          <w:u w:val="single"/>
        </w:rPr>
        <w:t xml:space="preserve"> </w:t>
      </w:r>
      <w:r w:rsidRPr="00155F52">
        <w:rPr>
          <w:rFonts w:ascii="Arial" w:eastAsia="Arial" w:hAnsi="Arial" w:cs="Arial"/>
          <w:sz w:val="24"/>
          <w:szCs w:val="24"/>
          <w:u w:val="single"/>
        </w:rPr>
        <w:t>and</w:t>
      </w:r>
      <w:r w:rsidRPr="00155F52">
        <w:rPr>
          <w:rFonts w:ascii="Arial" w:eastAsia="Arial" w:hAnsi="Arial" w:cs="Arial"/>
          <w:spacing w:val="-2"/>
          <w:sz w:val="24"/>
          <w:szCs w:val="24"/>
          <w:u w:val="single"/>
        </w:rPr>
        <w:t xml:space="preserve"> </w:t>
      </w:r>
      <w:r w:rsidRPr="00155F52">
        <w:rPr>
          <w:rFonts w:ascii="Arial" w:eastAsia="Arial" w:hAnsi="Arial" w:cs="Arial"/>
          <w:sz w:val="24"/>
          <w:szCs w:val="24"/>
          <w:u w:val="single"/>
        </w:rPr>
        <w:t>the</w:t>
      </w:r>
      <w:r w:rsidRPr="00155F52">
        <w:rPr>
          <w:rFonts w:ascii="Arial" w:eastAsia="Arial" w:hAnsi="Arial" w:cs="Arial"/>
          <w:spacing w:val="-2"/>
          <w:sz w:val="24"/>
          <w:szCs w:val="24"/>
          <w:u w:val="single"/>
        </w:rPr>
        <w:t xml:space="preserve"> </w:t>
      </w:r>
      <w:r w:rsidRPr="00155F52">
        <w:rPr>
          <w:rFonts w:ascii="Arial" w:eastAsia="Arial" w:hAnsi="Arial" w:cs="Arial"/>
          <w:sz w:val="24"/>
          <w:szCs w:val="24"/>
          <w:u w:val="single"/>
        </w:rPr>
        <w:t>Capital</w:t>
      </w:r>
      <w:r w:rsidRPr="00155F52">
        <w:rPr>
          <w:rFonts w:ascii="Arial" w:eastAsia="Arial" w:hAnsi="Arial" w:cs="Arial"/>
          <w:spacing w:val="-3"/>
          <w:sz w:val="24"/>
          <w:szCs w:val="24"/>
          <w:u w:val="single"/>
        </w:rPr>
        <w:t xml:space="preserve"> </w:t>
      </w:r>
      <w:r w:rsidRPr="00155F52">
        <w:rPr>
          <w:rFonts w:ascii="Arial" w:eastAsia="Arial" w:hAnsi="Arial" w:cs="Arial"/>
          <w:sz w:val="24"/>
          <w:szCs w:val="24"/>
          <w:u w:val="single"/>
        </w:rPr>
        <w:t>Financing</w:t>
      </w:r>
      <w:r w:rsidRPr="00155F52">
        <w:rPr>
          <w:rFonts w:ascii="Arial" w:eastAsia="Arial" w:hAnsi="Arial" w:cs="Arial"/>
          <w:spacing w:val="-4"/>
          <w:sz w:val="24"/>
          <w:szCs w:val="24"/>
          <w:u w:val="single"/>
        </w:rPr>
        <w:t xml:space="preserve"> </w:t>
      </w:r>
      <w:r w:rsidRPr="00155F52">
        <w:rPr>
          <w:rFonts w:ascii="Arial" w:eastAsia="Arial" w:hAnsi="Arial" w:cs="Arial"/>
          <w:sz w:val="24"/>
          <w:szCs w:val="24"/>
          <w:u w:val="single"/>
        </w:rPr>
        <w:t>Requirement</w:t>
      </w:r>
      <w:r w:rsidRPr="00155F52">
        <w:rPr>
          <w:rFonts w:ascii="Arial" w:eastAsia="Arial" w:hAnsi="Arial" w:cs="Arial"/>
          <w:spacing w:val="-3"/>
          <w:sz w:val="24"/>
          <w:szCs w:val="24"/>
          <w:u w:val="single"/>
        </w:rPr>
        <w:t xml:space="preserve"> </w:t>
      </w:r>
      <w:r w:rsidRPr="00155F52">
        <w:rPr>
          <w:rFonts w:ascii="Arial" w:eastAsia="Arial" w:hAnsi="Arial" w:cs="Arial"/>
          <w:sz w:val="24"/>
          <w:szCs w:val="24"/>
          <w:u w:val="single"/>
        </w:rPr>
        <w:t>(CFR)</w:t>
      </w:r>
    </w:p>
    <w:p w14:paraId="06DACA5F" w14:textId="77777777" w:rsidR="00155F52" w:rsidRPr="00155F52" w:rsidRDefault="00155F52" w:rsidP="00155F52">
      <w:pPr>
        <w:widowControl w:val="0"/>
        <w:autoSpaceDE w:val="0"/>
        <w:autoSpaceDN w:val="0"/>
        <w:spacing w:after="0" w:line="240" w:lineRule="auto"/>
        <w:rPr>
          <w:rFonts w:ascii="Arial" w:eastAsia="Arial" w:hAnsi="Arial" w:cs="Arial"/>
          <w:sz w:val="11"/>
          <w:szCs w:val="24"/>
        </w:rPr>
      </w:pPr>
    </w:p>
    <w:p w14:paraId="12924C39" w14:textId="77777777" w:rsidR="00155F52" w:rsidRPr="00155F52" w:rsidRDefault="00155F52" w:rsidP="00155F52">
      <w:pPr>
        <w:widowControl w:val="0"/>
        <w:autoSpaceDE w:val="0"/>
        <w:autoSpaceDN w:val="0"/>
        <w:spacing w:before="92" w:after="0" w:line="240" w:lineRule="auto"/>
        <w:ind w:right="112"/>
        <w:jc w:val="both"/>
        <w:rPr>
          <w:rFonts w:ascii="Arial" w:eastAsia="Arial" w:hAnsi="Arial" w:cs="Arial"/>
          <w:sz w:val="24"/>
          <w:szCs w:val="24"/>
        </w:rPr>
      </w:pPr>
      <w:r w:rsidRPr="00155F52">
        <w:rPr>
          <w:rFonts w:ascii="Arial" w:eastAsia="Arial" w:hAnsi="Arial" w:cs="Arial"/>
          <w:sz w:val="24"/>
          <w:szCs w:val="24"/>
        </w:rPr>
        <w:t>The Code requires that where gross debt is greater than the CFR, the</w:t>
      </w:r>
      <w:r w:rsidRPr="00155F52">
        <w:rPr>
          <w:rFonts w:ascii="Arial" w:eastAsia="Arial" w:hAnsi="Arial" w:cs="Arial"/>
          <w:spacing w:val="-64"/>
          <w:sz w:val="24"/>
          <w:szCs w:val="24"/>
        </w:rPr>
        <w:t xml:space="preserve"> </w:t>
      </w:r>
      <w:r w:rsidRPr="00155F52">
        <w:rPr>
          <w:rFonts w:ascii="Arial" w:eastAsia="Arial" w:hAnsi="Arial" w:cs="Arial"/>
          <w:sz w:val="24"/>
          <w:szCs w:val="24"/>
        </w:rPr>
        <w:t>reasons for this should be clearly stated in the annual strategy. This</w:t>
      </w:r>
      <w:r w:rsidRPr="00155F52">
        <w:rPr>
          <w:rFonts w:ascii="Arial" w:eastAsia="Arial" w:hAnsi="Arial" w:cs="Arial"/>
          <w:spacing w:val="1"/>
          <w:sz w:val="24"/>
          <w:szCs w:val="24"/>
        </w:rPr>
        <w:t xml:space="preserve"> </w:t>
      </w:r>
      <w:r w:rsidRPr="00155F52">
        <w:rPr>
          <w:rFonts w:ascii="Arial" w:eastAsia="Arial" w:hAnsi="Arial" w:cs="Arial"/>
          <w:sz w:val="24"/>
          <w:szCs w:val="24"/>
        </w:rPr>
        <w:t>does not apply to this Authority as its gross debt will not exceed the</w:t>
      </w:r>
      <w:r w:rsidRPr="00155F52">
        <w:rPr>
          <w:rFonts w:ascii="Arial" w:eastAsia="Arial" w:hAnsi="Arial" w:cs="Arial"/>
          <w:spacing w:val="1"/>
          <w:sz w:val="24"/>
          <w:szCs w:val="24"/>
        </w:rPr>
        <w:t xml:space="preserve"> </w:t>
      </w:r>
      <w:r w:rsidRPr="00155F52">
        <w:rPr>
          <w:rFonts w:ascii="Arial" w:eastAsia="Arial" w:hAnsi="Arial" w:cs="Arial"/>
          <w:sz w:val="24"/>
          <w:szCs w:val="24"/>
        </w:rPr>
        <w:t>CFR.</w:t>
      </w:r>
    </w:p>
    <w:p w14:paraId="1182D28B" w14:textId="77777777" w:rsidR="00155F52" w:rsidRPr="00155F52" w:rsidRDefault="00155F52" w:rsidP="00155F52">
      <w:pPr>
        <w:widowControl w:val="0"/>
        <w:autoSpaceDE w:val="0"/>
        <w:autoSpaceDN w:val="0"/>
        <w:spacing w:after="0" w:line="240" w:lineRule="auto"/>
        <w:rPr>
          <w:rFonts w:ascii="Arial" w:eastAsia="Arial" w:hAnsi="Arial" w:cs="Arial"/>
          <w:sz w:val="26"/>
          <w:szCs w:val="24"/>
        </w:rPr>
      </w:pPr>
    </w:p>
    <w:p w14:paraId="62D3DBEF" w14:textId="77777777" w:rsidR="00155F52" w:rsidRPr="00155F52" w:rsidRDefault="00155F52" w:rsidP="00155F52">
      <w:pPr>
        <w:widowControl w:val="0"/>
        <w:autoSpaceDE w:val="0"/>
        <w:autoSpaceDN w:val="0"/>
        <w:spacing w:before="5" w:after="0" w:line="240" w:lineRule="auto"/>
        <w:rPr>
          <w:rFonts w:ascii="Arial" w:eastAsia="Arial" w:hAnsi="Arial" w:cs="Arial"/>
          <w:sz w:val="36"/>
          <w:szCs w:val="24"/>
        </w:rPr>
      </w:pPr>
    </w:p>
    <w:p w14:paraId="74A95DED" w14:textId="77777777" w:rsidR="00155F52" w:rsidRPr="00155F52" w:rsidRDefault="00155F52" w:rsidP="00155F52">
      <w:pPr>
        <w:widowControl w:val="0"/>
        <w:autoSpaceDE w:val="0"/>
        <w:autoSpaceDN w:val="0"/>
        <w:spacing w:after="0" w:line="240" w:lineRule="auto"/>
        <w:jc w:val="both"/>
        <w:rPr>
          <w:rFonts w:ascii="Arial" w:eastAsia="Arial" w:hAnsi="Arial" w:cs="Arial"/>
          <w:sz w:val="24"/>
          <w:szCs w:val="24"/>
        </w:rPr>
      </w:pPr>
      <w:r w:rsidRPr="00155F52">
        <w:rPr>
          <w:rFonts w:ascii="Arial" w:eastAsia="Arial" w:hAnsi="Arial" w:cs="Arial"/>
          <w:sz w:val="24"/>
          <w:szCs w:val="24"/>
          <w:u w:val="single"/>
        </w:rPr>
        <w:t>Interest</w:t>
      </w:r>
      <w:r w:rsidRPr="00155F52">
        <w:rPr>
          <w:rFonts w:ascii="Arial" w:eastAsia="Arial" w:hAnsi="Arial" w:cs="Arial"/>
          <w:spacing w:val="-5"/>
          <w:sz w:val="24"/>
          <w:szCs w:val="24"/>
          <w:u w:val="single"/>
        </w:rPr>
        <w:t xml:space="preserve"> </w:t>
      </w:r>
      <w:r w:rsidRPr="00155F52">
        <w:rPr>
          <w:rFonts w:ascii="Arial" w:eastAsia="Arial" w:hAnsi="Arial" w:cs="Arial"/>
          <w:sz w:val="24"/>
          <w:szCs w:val="24"/>
          <w:u w:val="single"/>
        </w:rPr>
        <w:t>Rate</w:t>
      </w:r>
      <w:r w:rsidRPr="00155F52">
        <w:rPr>
          <w:rFonts w:ascii="Arial" w:eastAsia="Arial" w:hAnsi="Arial" w:cs="Arial"/>
          <w:spacing w:val="-4"/>
          <w:sz w:val="24"/>
          <w:szCs w:val="24"/>
          <w:u w:val="single"/>
        </w:rPr>
        <w:t xml:space="preserve"> </w:t>
      </w:r>
      <w:r w:rsidRPr="00155F52">
        <w:rPr>
          <w:rFonts w:ascii="Arial" w:eastAsia="Arial" w:hAnsi="Arial" w:cs="Arial"/>
          <w:sz w:val="24"/>
          <w:szCs w:val="24"/>
          <w:u w:val="single"/>
        </w:rPr>
        <w:t>Exposures</w:t>
      </w:r>
    </w:p>
    <w:p w14:paraId="208541D7" w14:textId="77777777" w:rsidR="00155F52" w:rsidRPr="00155F52" w:rsidRDefault="00155F52" w:rsidP="00155F52">
      <w:pPr>
        <w:widowControl w:val="0"/>
        <w:autoSpaceDE w:val="0"/>
        <w:autoSpaceDN w:val="0"/>
        <w:spacing w:before="218" w:after="0" w:line="240" w:lineRule="auto"/>
        <w:ind w:right="112"/>
        <w:jc w:val="both"/>
        <w:rPr>
          <w:rFonts w:ascii="Arial" w:eastAsia="Arial" w:hAnsi="Arial" w:cs="Arial"/>
          <w:sz w:val="24"/>
          <w:szCs w:val="24"/>
        </w:rPr>
      </w:pPr>
      <w:r w:rsidRPr="00155F52">
        <w:rPr>
          <w:rFonts w:ascii="Arial" w:eastAsia="Arial" w:hAnsi="Arial" w:cs="Arial"/>
          <w:sz w:val="24"/>
          <w:szCs w:val="24"/>
        </w:rPr>
        <w:t>While fixed rate borrowing can contribute significantly to reducing the</w:t>
      </w:r>
      <w:r w:rsidRPr="00155F52">
        <w:rPr>
          <w:rFonts w:ascii="Arial" w:eastAsia="Arial" w:hAnsi="Arial" w:cs="Arial"/>
          <w:spacing w:val="1"/>
          <w:sz w:val="24"/>
          <w:szCs w:val="24"/>
        </w:rPr>
        <w:t xml:space="preserve"> </w:t>
      </w:r>
      <w:r w:rsidRPr="00155F52">
        <w:rPr>
          <w:rFonts w:ascii="Arial" w:eastAsia="Arial" w:hAnsi="Arial" w:cs="Arial"/>
          <w:sz w:val="24"/>
          <w:szCs w:val="24"/>
        </w:rPr>
        <w:t>uncertainty surrounding future interest rate scenarios, the pursuit of</w:t>
      </w:r>
      <w:r w:rsidRPr="00155F52">
        <w:rPr>
          <w:rFonts w:ascii="Arial" w:eastAsia="Arial" w:hAnsi="Arial" w:cs="Arial"/>
          <w:spacing w:val="1"/>
          <w:sz w:val="24"/>
          <w:szCs w:val="24"/>
        </w:rPr>
        <w:t xml:space="preserve"> </w:t>
      </w:r>
      <w:r w:rsidRPr="00155F52">
        <w:rPr>
          <w:rFonts w:ascii="Arial" w:eastAsia="Arial" w:hAnsi="Arial" w:cs="Arial"/>
          <w:sz w:val="24"/>
          <w:szCs w:val="24"/>
        </w:rPr>
        <w:t>optimum performance justifies retaining a degree of flexibility through</w:t>
      </w:r>
      <w:r w:rsidRPr="00155F52">
        <w:rPr>
          <w:rFonts w:ascii="Arial" w:eastAsia="Arial" w:hAnsi="Arial" w:cs="Arial"/>
          <w:spacing w:val="1"/>
          <w:sz w:val="24"/>
          <w:szCs w:val="24"/>
        </w:rPr>
        <w:t xml:space="preserve"> </w:t>
      </w:r>
      <w:r w:rsidRPr="00155F52">
        <w:rPr>
          <w:rFonts w:ascii="Arial" w:eastAsia="Arial" w:hAnsi="Arial" w:cs="Arial"/>
          <w:sz w:val="24"/>
          <w:szCs w:val="24"/>
        </w:rPr>
        <w:t>the use of variable interest rates on at least part of the treasury</w:t>
      </w:r>
      <w:r w:rsidRPr="00155F52">
        <w:rPr>
          <w:rFonts w:ascii="Arial" w:eastAsia="Arial" w:hAnsi="Arial" w:cs="Arial"/>
          <w:spacing w:val="1"/>
          <w:sz w:val="24"/>
          <w:szCs w:val="24"/>
        </w:rPr>
        <w:t xml:space="preserve"> </w:t>
      </w:r>
      <w:r w:rsidRPr="00155F52">
        <w:rPr>
          <w:rFonts w:ascii="Arial" w:eastAsia="Arial" w:hAnsi="Arial" w:cs="Arial"/>
          <w:sz w:val="24"/>
          <w:szCs w:val="24"/>
        </w:rPr>
        <w:t>management portfolio. The Code requires the setting of upper limits</w:t>
      </w:r>
      <w:r w:rsidRPr="00155F52">
        <w:rPr>
          <w:rFonts w:ascii="Arial" w:eastAsia="Arial" w:hAnsi="Arial" w:cs="Arial"/>
          <w:spacing w:val="1"/>
          <w:sz w:val="24"/>
          <w:szCs w:val="24"/>
        </w:rPr>
        <w:t xml:space="preserve"> </w:t>
      </w:r>
      <w:r w:rsidRPr="00155F52">
        <w:rPr>
          <w:rFonts w:ascii="Arial" w:eastAsia="Arial" w:hAnsi="Arial" w:cs="Arial"/>
          <w:sz w:val="24"/>
          <w:szCs w:val="24"/>
        </w:rPr>
        <w:t>for</w:t>
      </w:r>
      <w:r w:rsidRPr="00155F52">
        <w:rPr>
          <w:rFonts w:ascii="Arial" w:eastAsia="Arial" w:hAnsi="Arial" w:cs="Arial"/>
          <w:spacing w:val="-2"/>
          <w:sz w:val="24"/>
          <w:szCs w:val="24"/>
        </w:rPr>
        <w:t xml:space="preserve"> </w:t>
      </w:r>
      <w:r w:rsidRPr="00155F52">
        <w:rPr>
          <w:rFonts w:ascii="Arial" w:eastAsia="Arial" w:hAnsi="Arial" w:cs="Arial"/>
          <w:sz w:val="24"/>
          <w:szCs w:val="24"/>
        </w:rPr>
        <w:t>both variable rate and</w:t>
      </w:r>
      <w:r w:rsidRPr="00155F52">
        <w:rPr>
          <w:rFonts w:ascii="Arial" w:eastAsia="Arial" w:hAnsi="Arial" w:cs="Arial"/>
          <w:spacing w:val="-2"/>
          <w:sz w:val="24"/>
          <w:szCs w:val="24"/>
        </w:rPr>
        <w:t xml:space="preserve"> </w:t>
      </w:r>
      <w:r w:rsidRPr="00155F52">
        <w:rPr>
          <w:rFonts w:ascii="Arial" w:eastAsia="Arial" w:hAnsi="Arial" w:cs="Arial"/>
          <w:sz w:val="24"/>
          <w:szCs w:val="24"/>
        </w:rPr>
        <w:t>fixed interest</w:t>
      </w:r>
      <w:r w:rsidRPr="00155F52">
        <w:rPr>
          <w:rFonts w:ascii="Arial" w:eastAsia="Arial" w:hAnsi="Arial" w:cs="Arial"/>
          <w:spacing w:val="1"/>
          <w:sz w:val="24"/>
          <w:szCs w:val="24"/>
        </w:rPr>
        <w:t xml:space="preserve"> </w:t>
      </w:r>
      <w:r w:rsidRPr="00155F52">
        <w:rPr>
          <w:rFonts w:ascii="Arial" w:eastAsia="Arial" w:hAnsi="Arial" w:cs="Arial"/>
          <w:sz w:val="24"/>
          <w:szCs w:val="24"/>
        </w:rPr>
        <w:t>rate exposure.</w:t>
      </w:r>
    </w:p>
    <w:p w14:paraId="333B8895" w14:textId="77777777" w:rsidR="00155F52" w:rsidRPr="00155F52" w:rsidRDefault="00155F52" w:rsidP="00155F52">
      <w:pPr>
        <w:widowControl w:val="0"/>
        <w:autoSpaceDE w:val="0"/>
        <w:autoSpaceDN w:val="0"/>
        <w:spacing w:before="221" w:after="0" w:line="240" w:lineRule="auto"/>
        <w:ind w:right="112"/>
        <w:jc w:val="both"/>
        <w:rPr>
          <w:rFonts w:ascii="Arial" w:eastAsia="Arial" w:hAnsi="Arial" w:cs="Arial"/>
          <w:sz w:val="24"/>
          <w:szCs w:val="24"/>
        </w:rPr>
      </w:pPr>
      <w:r w:rsidRPr="00155F52">
        <w:rPr>
          <w:rFonts w:ascii="Arial" w:eastAsia="Arial" w:hAnsi="Arial" w:cs="Arial"/>
          <w:sz w:val="24"/>
          <w:szCs w:val="24"/>
        </w:rPr>
        <w:t xml:space="preserve">It is recommended that the Authority sets an upper limit on its </w:t>
      </w:r>
      <w:r w:rsidRPr="00155F52">
        <w:rPr>
          <w:rFonts w:ascii="Arial" w:eastAsia="Arial" w:hAnsi="Arial" w:cs="Arial"/>
          <w:sz w:val="24"/>
          <w:szCs w:val="24"/>
          <w:u w:val="single"/>
        </w:rPr>
        <w:t>fixed</w:t>
      </w:r>
      <w:r w:rsidRPr="00155F52">
        <w:rPr>
          <w:rFonts w:ascii="Arial" w:eastAsia="Arial" w:hAnsi="Arial" w:cs="Arial"/>
          <w:spacing w:val="1"/>
          <w:sz w:val="24"/>
          <w:szCs w:val="24"/>
        </w:rPr>
        <w:t xml:space="preserve"> </w:t>
      </w:r>
      <w:r w:rsidRPr="00155F52">
        <w:rPr>
          <w:rFonts w:ascii="Arial" w:eastAsia="Arial" w:hAnsi="Arial" w:cs="Arial"/>
          <w:sz w:val="24"/>
          <w:szCs w:val="24"/>
          <w:u w:val="single"/>
        </w:rPr>
        <w:t>interest rate</w:t>
      </w:r>
      <w:r w:rsidRPr="00155F52">
        <w:rPr>
          <w:rFonts w:ascii="Arial" w:eastAsia="Arial" w:hAnsi="Arial" w:cs="Arial"/>
          <w:sz w:val="24"/>
          <w:szCs w:val="24"/>
        </w:rPr>
        <w:t xml:space="preserve"> exposures for 2023/24, 2024/25 and 2025/26 of 100% of net interest payments. It is further recommended that the Authority</w:t>
      </w:r>
      <w:r w:rsidRPr="00155F52">
        <w:rPr>
          <w:rFonts w:ascii="Arial" w:eastAsia="Arial" w:hAnsi="Arial" w:cs="Arial"/>
          <w:spacing w:val="-64"/>
          <w:sz w:val="24"/>
          <w:szCs w:val="24"/>
        </w:rPr>
        <w:t xml:space="preserve">      </w:t>
      </w:r>
      <w:r w:rsidRPr="00155F52">
        <w:rPr>
          <w:rFonts w:ascii="Arial" w:eastAsia="Arial" w:hAnsi="Arial" w:cs="Arial"/>
          <w:sz w:val="24"/>
          <w:szCs w:val="24"/>
        </w:rPr>
        <w:t xml:space="preserve">sets an upper limit on its </w:t>
      </w:r>
      <w:r w:rsidRPr="00155F52">
        <w:rPr>
          <w:rFonts w:ascii="Arial" w:eastAsia="Arial" w:hAnsi="Arial" w:cs="Arial"/>
          <w:sz w:val="24"/>
          <w:szCs w:val="24"/>
          <w:u w:val="single"/>
        </w:rPr>
        <w:t>variable interest rate exposures</w:t>
      </w:r>
      <w:r w:rsidRPr="00155F52">
        <w:rPr>
          <w:rFonts w:ascii="Arial" w:eastAsia="Arial" w:hAnsi="Arial" w:cs="Arial"/>
          <w:sz w:val="24"/>
          <w:szCs w:val="24"/>
        </w:rPr>
        <w:t xml:space="preserve"> for 2023/24,</w:t>
      </w:r>
      <w:r w:rsidRPr="00155F52">
        <w:rPr>
          <w:rFonts w:ascii="Arial" w:eastAsia="Arial" w:hAnsi="Arial" w:cs="Arial"/>
          <w:spacing w:val="-64"/>
          <w:sz w:val="24"/>
          <w:szCs w:val="24"/>
        </w:rPr>
        <w:t xml:space="preserve"> </w:t>
      </w:r>
      <w:r w:rsidRPr="00155F52">
        <w:rPr>
          <w:rFonts w:ascii="Arial" w:eastAsia="Arial" w:hAnsi="Arial" w:cs="Arial"/>
          <w:sz w:val="24"/>
          <w:szCs w:val="24"/>
        </w:rPr>
        <w:t>2024/25</w:t>
      </w:r>
      <w:r w:rsidRPr="00155F52">
        <w:rPr>
          <w:rFonts w:ascii="Arial" w:eastAsia="Arial" w:hAnsi="Arial" w:cs="Arial"/>
          <w:spacing w:val="-2"/>
          <w:sz w:val="24"/>
          <w:szCs w:val="24"/>
        </w:rPr>
        <w:t xml:space="preserve"> </w:t>
      </w:r>
      <w:r w:rsidRPr="00155F52">
        <w:rPr>
          <w:rFonts w:ascii="Arial" w:eastAsia="Arial" w:hAnsi="Arial" w:cs="Arial"/>
          <w:sz w:val="24"/>
          <w:szCs w:val="24"/>
        </w:rPr>
        <w:t>and</w:t>
      </w:r>
      <w:r w:rsidRPr="00155F52">
        <w:rPr>
          <w:rFonts w:ascii="Arial" w:eastAsia="Arial" w:hAnsi="Arial" w:cs="Arial"/>
          <w:spacing w:val="-1"/>
          <w:sz w:val="24"/>
          <w:szCs w:val="24"/>
        </w:rPr>
        <w:t xml:space="preserve"> </w:t>
      </w:r>
      <w:r w:rsidRPr="00155F52">
        <w:rPr>
          <w:rFonts w:ascii="Arial" w:eastAsia="Arial" w:hAnsi="Arial" w:cs="Arial"/>
          <w:sz w:val="24"/>
          <w:szCs w:val="24"/>
        </w:rPr>
        <w:t>2025/26</w:t>
      </w:r>
      <w:r w:rsidRPr="00155F52">
        <w:rPr>
          <w:rFonts w:ascii="Arial" w:eastAsia="Arial" w:hAnsi="Arial" w:cs="Arial"/>
          <w:spacing w:val="-2"/>
          <w:sz w:val="24"/>
          <w:szCs w:val="24"/>
        </w:rPr>
        <w:t xml:space="preserve"> </w:t>
      </w:r>
      <w:r w:rsidRPr="00155F52">
        <w:rPr>
          <w:rFonts w:ascii="Arial" w:eastAsia="Arial" w:hAnsi="Arial" w:cs="Arial"/>
          <w:sz w:val="24"/>
          <w:szCs w:val="24"/>
        </w:rPr>
        <w:t>of</w:t>
      </w:r>
      <w:r w:rsidRPr="00155F52">
        <w:rPr>
          <w:rFonts w:ascii="Arial" w:eastAsia="Arial" w:hAnsi="Arial" w:cs="Arial"/>
          <w:spacing w:val="2"/>
          <w:sz w:val="24"/>
          <w:szCs w:val="24"/>
        </w:rPr>
        <w:t xml:space="preserve"> </w:t>
      </w:r>
      <w:r w:rsidRPr="00155F52">
        <w:rPr>
          <w:rFonts w:ascii="Arial" w:eastAsia="Arial" w:hAnsi="Arial" w:cs="Arial"/>
          <w:sz w:val="24"/>
          <w:szCs w:val="24"/>
        </w:rPr>
        <w:t>40%</w:t>
      </w:r>
      <w:r w:rsidRPr="00155F52">
        <w:rPr>
          <w:rFonts w:ascii="Arial" w:eastAsia="Arial" w:hAnsi="Arial" w:cs="Arial"/>
          <w:spacing w:val="-1"/>
          <w:sz w:val="24"/>
          <w:szCs w:val="24"/>
        </w:rPr>
        <w:t xml:space="preserve"> </w:t>
      </w:r>
      <w:r w:rsidRPr="00155F52">
        <w:rPr>
          <w:rFonts w:ascii="Arial" w:eastAsia="Arial" w:hAnsi="Arial" w:cs="Arial"/>
          <w:sz w:val="24"/>
          <w:szCs w:val="24"/>
        </w:rPr>
        <w:t>of</w:t>
      </w:r>
      <w:r w:rsidRPr="00155F52">
        <w:rPr>
          <w:rFonts w:ascii="Arial" w:eastAsia="Arial" w:hAnsi="Arial" w:cs="Arial"/>
          <w:spacing w:val="-1"/>
          <w:sz w:val="24"/>
          <w:szCs w:val="24"/>
        </w:rPr>
        <w:t xml:space="preserve"> </w:t>
      </w:r>
      <w:r w:rsidRPr="00155F52">
        <w:rPr>
          <w:rFonts w:ascii="Arial" w:eastAsia="Arial" w:hAnsi="Arial" w:cs="Arial"/>
          <w:sz w:val="24"/>
          <w:szCs w:val="24"/>
        </w:rPr>
        <w:t>its</w:t>
      </w:r>
      <w:r w:rsidRPr="00155F52">
        <w:rPr>
          <w:rFonts w:ascii="Arial" w:eastAsia="Arial" w:hAnsi="Arial" w:cs="Arial"/>
          <w:spacing w:val="-1"/>
          <w:sz w:val="24"/>
          <w:szCs w:val="24"/>
        </w:rPr>
        <w:t xml:space="preserve"> </w:t>
      </w:r>
      <w:r w:rsidRPr="00155F52">
        <w:rPr>
          <w:rFonts w:ascii="Arial" w:eastAsia="Arial" w:hAnsi="Arial" w:cs="Arial"/>
          <w:sz w:val="24"/>
          <w:szCs w:val="24"/>
        </w:rPr>
        <w:t>net interest payments.</w:t>
      </w:r>
    </w:p>
    <w:p w14:paraId="0DF38DCE" w14:textId="77777777" w:rsidR="00155F52" w:rsidRPr="00155F52" w:rsidRDefault="00155F52" w:rsidP="00155F52">
      <w:pPr>
        <w:widowControl w:val="0"/>
        <w:autoSpaceDE w:val="0"/>
        <w:autoSpaceDN w:val="0"/>
        <w:spacing w:before="221" w:after="0" w:line="240" w:lineRule="auto"/>
        <w:ind w:right="890"/>
        <w:jc w:val="center"/>
        <w:rPr>
          <w:rFonts w:ascii="Arial" w:eastAsia="Arial" w:hAnsi="Arial" w:cs="Arial"/>
          <w:sz w:val="24"/>
          <w:szCs w:val="24"/>
        </w:rPr>
      </w:pPr>
      <w:r w:rsidRPr="00155F52">
        <w:rPr>
          <w:rFonts w:ascii="Arial" w:hAnsi="Arial"/>
          <w:noProof/>
        </w:rPr>
        <w:drawing>
          <wp:inline distT="0" distB="0" distL="0" distR="0" wp14:anchorId="18C4607D" wp14:editId="40B66CB5">
            <wp:extent cx="4914900" cy="1371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0" cy="1371600"/>
                    </a:xfrm>
                    <a:prstGeom prst="rect">
                      <a:avLst/>
                    </a:prstGeom>
                    <a:noFill/>
                    <a:ln>
                      <a:noFill/>
                    </a:ln>
                  </pic:spPr>
                </pic:pic>
              </a:graphicData>
            </a:graphic>
          </wp:inline>
        </w:drawing>
      </w:r>
    </w:p>
    <w:p w14:paraId="5393CADC" w14:textId="77777777" w:rsidR="00155F52" w:rsidRPr="00155F52" w:rsidRDefault="00155F52" w:rsidP="00155F52">
      <w:pPr>
        <w:widowControl w:val="0"/>
        <w:autoSpaceDE w:val="0"/>
        <w:autoSpaceDN w:val="0"/>
        <w:spacing w:before="221" w:after="0" w:line="240" w:lineRule="auto"/>
        <w:ind w:right="-30"/>
        <w:jc w:val="both"/>
        <w:rPr>
          <w:rFonts w:ascii="Arial" w:eastAsia="Arial" w:hAnsi="Arial" w:cs="Arial"/>
          <w:sz w:val="24"/>
          <w:szCs w:val="24"/>
        </w:rPr>
      </w:pPr>
      <w:r w:rsidRPr="00155F52">
        <w:rPr>
          <w:rFonts w:ascii="Arial" w:eastAsia="Arial" w:hAnsi="Arial" w:cs="Arial"/>
          <w:sz w:val="24"/>
          <w:szCs w:val="24"/>
        </w:rPr>
        <w:t>This means that fixed interest rate exposures will be managed within</w:t>
      </w:r>
      <w:r w:rsidRPr="00155F52">
        <w:rPr>
          <w:rFonts w:ascii="Arial" w:eastAsia="Arial" w:hAnsi="Arial" w:cs="Arial"/>
          <w:spacing w:val="1"/>
          <w:sz w:val="24"/>
          <w:szCs w:val="24"/>
        </w:rPr>
        <w:t xml:space="preserve"> </w:t>
      </w:r>
      <w:r w:rsidRPr="00155F52">
        <w:rPr>
          <w:rFonts w:ascii="Arial" w:eastAsia="Arial" w:hAnsi="Arial" w:cs="Arial"/>
          <w:sz w:val="24"/>
          <w:szCs w:val="24"/>
        </w:rPr>
        <w:t>the range 60% to 100%, and variable interest rate exposures within</w:t>
      </w:r>
      <w:r w:rsidRPr="00155F52">
        <w:rPr>
          <w:rFonts w:ascii="Arial" w:eastAsia="Arial" w:hAnsi="Arial" w:cs="Arial"/>
          <w:spacing w:val="1"/>
          <w:sz w:val="24"/>
          <w:szCs w:val="24"/>
        </w:rPr>
        <w:t xml:space="preserve"> </w:t>
      </w:r>
      <w:r w:rsidRPr="00155F52">
        <w:rPr>
          <w:rFonts w:ascii="Arial" w:eastAsia="Arial" w:hAnsi="Arial" w:cs="Arial"/>
          <w:sz w:val="24"/>
          <w:szCs w:val="24"/>
        </w:rPr>
        <w:t>the range</w:t>
      </w:r>
      <w:r w:rsidRPr="00155F52">
        <w:rPr>
          <w:rFonts w:ascii="Arial" w:eastAsia="Arial" w:hAnsi="Arial" w:cs="Arial"/>
          <w:spacing w:val="1"/>
          <w:sz w:val="24"/>
          <w:szCs w:val="24"/>
        </w:rPr>
        <w:t xml:space="preserve"> </w:t>
      </w:r>
      <w:r w:rsidRPr="00155F52">
        <w:rPr>
          <w:rFonts w:ascii="Arial" w:eastAsia="Arial" w:hAnsi="Arial" w:cs="Arial"/>
          <w:sz w:val="24"/>
          <w:szCs w:val="24"/>
        </w:rPr>
        <w:t>0%</w:t>
      </w:r>
      <w:r w:rsidRPr="00155F52">
        <w:rPr>
          <w:rFonts w:ascii="Arial" w:eastAsia="Arial" w:hAnsi="Arial" w:cs="Arial"/>
          <w:spacing w:val="-2"/>
          <w:sz w:val="24"/>
          <w:szCs w:val="24"/>
        </w:rPr>
        <w:t xml:space="preserve"> </w:t>
      </w:r>
      <w:r w:rsidRPr="00155F52">
        <w:rPr>
          <w:rFonts w:ascii="Arial" w:eastAsia="Arial" w:hAnsi="Arial" w:cs="Arial"/>
          <w:sz w:val="24"/>
          <w:szCs w:val="24"/>
        </w:rPr>
        <w:t>to</w:t>
      </w:r>
      <w:r w:rsidRPr="00155F52">
        <w:rPr>
          <w:rFonts w:ascii="Arial" w:eastAsia="Arial" w:hAnsi="Arial" w:cs="Arial"/>
          <w:spacing w:val="1"/>
          <w:sz w:val="24"/>
          <w:szCs w:val="24"/>
        </w:rPr>
        <w:t xml:space="preserve"> </w:t>
      </w:r>
      <w:r w:rsidRPr="00155F52">
        <w:rPr>
          <w:rFonts w:ascii="Arial" w:eastAsia="Arial" w:hAnsi="Arial" w:cs="Arial"/>
          <w:sz w:val="24"/>
          <w:szCs w:val="24"/>
        </w:rPr>
        <w:t>40%.</w:t>
      </w:r>
    </w:p>
    <w:p w14:paraId="67DA4E82" w14:textId="77777777" w:rsidR="00155F52" w:rsidRPr="00155F52" w:rsidRDefault="00155F52" w:rsidP="00155F52">
      <w:pPr>
        <w:widowControl w:val="0"/>
        <w:autoSpaceDE w:val="0"/>
        <w:autoSpaceDN w:val="0"/>
        <w:spacing w:after="0" w:line="240" w:lineRule="auto"/>
        <w:rPr>
          <w:rFonts w:ascii="Arial" w:eastAsia="Arial" w:hAnsi="Arial" w:cs="Arial"/>
          <w:sz w:val="26"/>
          <w:szCs w:val="24"/>
        </w:rPr>
      </w:pPr>
    </w:p>
    <w:p w14:paraId="3D02C358" w14:textId="77777777" w:rsidR="00155F52" w:rsidRPr="00155F52" w:rsidRDefault="00155F52" w:rsidP="00155F52">
      <w:pPr>
        <w:widowControl w:val="0"/>
        <w:autoSpaceDE w:val="0"/>
        <w:autoSpaceDN w:val="0"/>
        <w:spacing w:before="1" w:after="0" w:line="240" w:lineRule="auto"/>
        <w:jc w:val="both"/>
        <w:rPr>
          <w:rFonts w:ascii="Arial" w:eastAsia="Arial" w:hAnsi="Arial" w:cs="Arial"/>
          <w:sz w:val="24"/>
          <w:szCs w:val="24"/>
        </w:rPr>
      </w:pPr>
      <w:r w:rsidRPr="00155F52">
        <w:rPr>
          <w:rFonts w:ascii="Arial" w:eastAsia="Arial" w:hAnsi="Arial" w:cs="Arial"/>
          <w:sz w:val="24"/>
          <w:szCs w:val="24"/>
          <w:u w:val="single"/>
        </w:rPr>
        <w:t>Maturity</w:t>
      </w:r>
      <w:r w:rsidRPr="00155F52">
        <w:rPr>
          <w:rFonts w:ascii="Arial" w:eastAsia="Arial" w:hAnsi="Arial" w:cs="Arial"/>
          <w:spacing w:val="-5"/>
          <w:sz w:val="24"/>
          <w:szCs w:val="24"/>
          <w:u w:val="single"/>
        </w:rPr>
        <w:t xml:space="preserve"> </w:t>
      </w:r>
      <w:r w:rsidRPr="00155F52">
        <w:rPr>
          <w:rFonts w:ascii="Arial" w:eastAsia="Arial" w:hAnsi="Arial" w:cs="Arial"/>
          <w:sz w:val="24"/>
          <w:szCs w:val="24"/>
          <w:u w:val="single"/>
        </w:rPr>
        <w:t>Structure</w:t>
      </w:r>
      <w:r w:rsidRPr="00155F52">
        <w:rPr>
          <w:rFonts w:ascii="Arial" w:eastAsia="Arial" w:hAnsi="Arial" w:cs="Arial"/>
          <w:spacing w:val="-2"/>
          <w:sz w:val="24"/>
          <w:szCs w:val="24"/>
          <w:u w:val="single"/>
        </w:rPr>
        <w:t xml:space="preserve"> </w:t>
      </w:r>
      <w:r w:rsidRPr="00155F52">
        <w:rPr>
          <w:rFonts w:ascii="Arial" w:eastAsia="Arial" w:hAnsi="Arial" w:cs="Arial"/>
          <w:sz w:val="24"/>
          <w:szCs w:val="24"/>
          <w:u w:val="single"/>
        </w:rPr>
        <w:t>of</w:t>
      </w:r>
      <w:r w:rsidRPr="00155F52">
        <w:rPr>
          <w:rFonts w:ascii="Arial" w:eastAsia="Arial" w:hAnsi="Arial" w:cs="Arial"/>
          <w:spacing w:val="-2"/>
          <w:sz w:val="24"/>
          <w:szCs w:val="24"/>
          <w:u w:val="single"/>
        </w:rPr>
        <w:t xml:space="preserve"> </w:t>
      </w:r>
      <w:r w:rsidRPr="00155F52">
        <w:rPr>
          <w:rFonts w:ascii="Arial" w:eastAsia="Arial" w:hAnsi="Arial" w:cs="Arial"/>
          <w:sz w:val="24"/>
          <w:szCs w:val="24"/>
          <w:u w:val="single"/>
        </w:rPr>
        <w:t>Borrowing</w:t>
      </w:r>
    </w:p>
    <w:p w14:paraId="2E0CD2F3" w14:textId="77777777" w:rsidR="00155F52" w:rsidRPr="00155F52" w:rsidRDefault="00155F52" w:rsidP="00155F52">
      <w:pPr>
        <w:widowControl w:val="0"/>
        <w:autoSpaceDE w:val="0"/>
        <w:autoSpaceDN w:val="0"/>
        <w:spacing w:before="220" w:after="0" w:line="240" w:lineRule="auto"/>
        <w:ind w:right="-30"/>
        <w:jc w:val="both"/>
        <w:rPr>
          <w:rFonts w:ascii="Arial" w:eastAsia="Arial" w:hAnsi="Arial" w:cs="Arial"/>
          <w:sz w:val="24"/>
          <w:szCs w:val="24"/>
        </w:rPr>
      </w:pPr>
      <w:r w:rsidRPr="00155F52">
        <w:rPr>
          <w:rFonts w:ascii="Arial" w:eastAsia="Arial" w:hAnsi="Arial" w:cs="Arial"/>
          <w:sz w:val="24"/>
          <w:szCs w:val="24"/>
        </w:rPr>
        <w:t>This</w:t>
      </w:r>
      <w:r w:rsidRPr="00155F52">
        <w:rPr>
          <w:rFonts w:ascii="Arial" w:eastAsia="Arial" w:hAnsi="Arial" w:cs="Arial"/>
          <w:spacing w:val="1"/>
          <w:sz w:val="24"/>
          <w:szCs w:val="24"/>
        </w:rPr>
        <w:t xml:space="preserve"> </w:t>
      </w:r>
      <w:r w:rsidRPr="00155F52">
        <w:rPr>
          <w:rFonts w:ascii="Arial" w:eastAsia="Arial" w:hAnsi="Arial" w:cs="Arial"/>
          <w:sz w:val="24"/>
          <w:szCs w:val="24"/>
        </w:rPr>
        <w:t>indicator</w:t>
      </w:r>
      <w:r w:rsidRPr="00155F52">
        <w:rPr>
          <w:rFonts w:ascii="Arial" w:eastAsia="Arial" w:hAnsi="Arial" w:cs="Arial"/>
          <w:spacing w:val="1"/>
          <w:sz w:val="24"/>
          <w:szCs w:val="24"/>
        </w:rPr>
        <w:t xml:space="preserve"> </w:t>
      </w:r>
      <w:r w:rsidRPr="00155F52">
        <w:rPr>
          <w:rFonts w:ascii="Arial" w:eastAsia="Arial" w:hAnsi="Arial" w:cs="Arial"/>
          <w:sz w:val="24"/>
          <w:szCs w:val="24"/>
        </w:rPr>
        <w:t>is</w:t>
      </w:r>
      <w:r w:rsidRPr="00155F52">
        <w:rPr>
          <w:rFonts w:ascii="Arial" w:eastAsia="Arial" w:hAnsi="Arial" w:cs="Arial"/>
          <w:spacing w:val="1"/>
          <w:sz w:val="24"/>
          <w:szCs w:val="24"/>
        </w:rPr>
        <w:t xml:space="preserve"> </w:t>
      </w:r>
      <w:r w:rsidRPr="00155F52">
        <w:rPr>
          <w:rFonts w:ascii="Arial" w:eastAsia="Arial" w:hAnsi="Arial" w:cs="Arial"/>
          <w:sz w:val="24"/>
          <w:szCs w:val="24"/>
        </w:rPr>
        <w:t>designed</w:t>
      </w:r>
      <w:r w:rsidRPr="00155F52">
        <w:rPr>
          <w:rFonts w:ascii="Arial" w:eastAsia="Arial" w:hAnsi="Arial" w:cs="Arial"/>
          <w:spacing w:val="1"/>
          <w:sz w:val="24"/>
          <w:szCs w:val="24"/>
        </w:rPr>
        <w:t xml:space="preserve"> </w:t>
      </w:r>
      <w:r w:rsidRPr="00155F52">
        <w:rPr>
          <w:rFonts w:ascii="Arial" w:eastAsia="Arial" w:hAnsi="Arial" w:cs="Arial"/>
          <w:sz w:val="24"/>
          <w:szCs w:val="24"/>
        </w:rPr>
        <w:t>to</w:t>
      </w:r>
      <w:r w:rsidRPr="00155F52">
        <w:rPr>
          <w:rFonts w:ascii="Arial" w:eastAsia="Arial" w:hAnsi="Arial" w:cs="Arial"/>
          <w:spacing w:val="1"/>
          <w:sz w:val="24"/>
          <w:szCs w:val="24"/>
        </w:rPr>
        <w:t xml:space="preserve"> </w:t>
      </w:r>
      <w:r w:rsidRPr="00155F52">
        <w:rPr>
          <w:rFonts w:ascii="Arial" w:eastAsia="Arial" w:hAnsi="Arial" w:cs="Arial"/>
          <w:sz w:val="24"/>
          <w:szCs w:val="24"/>
        </w:rPr>
        <w:t>prevent</w:t>
      </w:r>
      <w:r w:rsidRPr="00155F52">
        <w:rPr>
          <w:rFonts w:ascii="Arial" w:eastAsia="Arial" w:hAnsi="Arial" w:cs="Arial"/>
          <w:spacing w:val="1"/>
          <w:sz w:val="24"/>
          <w:szCs w:val="24"/>
        </w:rPr>
        <w:t xml:space="preserve"> </w:t>
      </w:r>
      <w:r w:rsidRPr="00155F52">
        <w:rPr>
          <w:rFonts w:ascii="Arial" w:eastAsia="Arial" w:hAnsi="Arial" w:cs="Arial"/>
          <w:sz w:val="24"/>
          <w:szCs w:val="24"/>
        </w:rPr>
        <w:t>the</w:t>
      </w:r>
      <w:r w:rsidRPr="00155F52">
        <w:rPr>
          <w:rFonts w:ascii="Arial" w:eastAsia="Arial" w:hAnsi="Arial" w:cs="Arial"/>
          <w:spacing w:val="1"/>
          <w:sz w:val="24"/>
          <w:szCs w:val="24"/>
        </w:rPr>
        <w:t xml:space="preserve"> </w:t>
      </w:r>
      <w:r w:rsidRPr="00155F52">
        <w:rPr>
          <w:rFonts w:ascii="Arial" w:eastAsia="Arial" w:hAnsi="Arial" w:cs="Arial"/>
          <w:sz w:val="24"/>
          <w:szCs w:val="24"/>
        </w:rPr>
        <w:t>Authority</w:t>
      </w:r>
      <w:r w:rsidRPr="00155F52">
        <w:rPr>
          <w:rFonts w:ascii="Arial" w:eastAsia="Arial" w:hAnsi="Arial" w:cs="Arial"/>
          <w:spacing w:val="1"/>
          <w:sz w:val="24"/>
          <w:szCs w:val="24"/>
        </w:rPr>
        <w:t xml:space="preserve"> </w:t>
      </w:r>
      <w:r w:rsidRPr="00155F52">
        <w:rPr>
          <w:rFonts w:ascii="Arial" w:eastAsia="Arial" w:hAnsi="Arial" w:cs="Arial"/>
          <w:sz w:val="24"/>
          <w:szCs w:val="24"/>
        </w:rPr>
        <w:t>having</w:t>
      </w:r>
      <w:r w:rsidRPr="00155F52">
        <w:rPr>
          <w:rFonts w:ascii="Arial" w:eastAsia="Arial" w:hAnsi="Arial" w:cs="Arial"/>
          <w:spacing w:val="1"/>
          <w:sz w:val="24"/>
          <w:szCs w:val="24"/>
        </w:rPr>
        <w:t xml:space="preserve"> </w:t>
      </w:r>
      <w:r w:rsidRPr="00155F52">
        <w:rPr>
          <w:rFonts w:ascii="Arial" w:eastAsia="Arial" w:hAnsi="Arial" w:cs="Arial"/>
          <w:sz w:val="24"/>
          <w:szCs w:val="24"/>
        </w:rPr>
        <w:t>large</w:t>
      </w:r>
      <w:r w:rsidRPr="00155F52">
        <w:rPr>
          <w:rFonts w:ascii="Arial" w:eastAsia="Arial" w:hAnsi="Arial" w:cs="Arial"/>
          <w:spacing w:val="1"/>
          <w:sz w:val="24"/>
          <w:szCs w:val="24"/>
        </w:rPr>
        <w:t xml:space="preserve"> </w:t>
      </w:r>
      <w:r w:rsidRPr="00155F52">
        <w:rPr>
          <w:rFonts w:ascii="Arial" w:eastAsia="Arial" w:hAnsi="Arial" w:cs="Arial"/>
          <w:sz w:val="24"/>
          <w:szCs w:val="24"/>
        </w:rPr>
        <w:t>concentrations of fixed rate debt* needing to be replaced at times of</w:t>
      </w:r>
      <w:r w:rsidRPr="00155F52">
        <w:rPr>
          <w:rFonts w:ascii="Arial" w:eastAsia="Arial" w:hAnsi="Arial" w:cs="Arial"/>
          <w:spacing w:val="1"/>
          <w:sz w:val="24"/>
          <w:szCs w:val="24"/>
        </w:rPr>
        <w:t xml:space="preserve"> </w:t>
      </w:r>
      <w:r w:rsidRPr="00155F52">
        <w:rPr>
          <w:rFonts w:ascii="Arial" w:eastAsia="Arial" w:hAnsi="Arial" w:cs="Arial"/>
          <w:sz w:val="24"/>
          <w:szCs w:val="24"/>
        </w:rPr>
        <w:t>uncertainty over interest rates. It is recommended that the Authority</w:t>
      </w:r>
      <w:r w:rsidRPr="00155F52">
        <w:rPr>
          <w:rFonts w:ascii="Arial" w:eastAsia="Arial" w:hAnsi="Arial" w:cs="Arial"/>
          <w:spacing w:val="1"/>
          <w:sz w:val="24"/>
          <w:szCs w:val="24"/>
        </w:rPr>
        <w:t xml:space="preserve"> </w:t>
      </w:r>
      <w:r w:rsidRPr="00155F52">
        <w:rPr>
          <w:rFonts w:ascii="Arial" w:eastAsia="Arial" w:hAnsi="Arial" w:cs="Arial"/>
          <w:sz w:val="24"/>
          <w:szCs w:val="24"/>
        </w:rPr>
        <w:t>sets upper and lower limits for the maturity structure of its borrowings</w:t>
      </w:r>
      <w:r w:rsidRPr="00155F52">
        <w:rPr>
          <w:rFonts w:ascii="Arial" w:eastAsia="Arial" w:hAnsi="Arial" w:cs="Arial"/>
          <w:spacing w:val="1"/>
          <w:sz w:val="24"/>
          <w:szCs w:val="24"/>
        </w:rPr>
        <w:t xml:space="preserve"> </w:t>
      </w:r>
      <w:r w:rsidRPr="00155F52">
        <w:rPr>
          <w:rFonts w:ascii="Arial" w:eastAsia="Arial" w:hAnsi="Arial" w:cs="Arial"/>
          <w:sz w:val="24"/>
          <w:szCs w:val="24"/>
        </w:rPr>
        <w:t>as</w:t>
      </w:r>
      <w:r w:rsidRPr="00155F52">
        <w:rPr>
          <w:rFonts w:ascii="Arial" w:eastAsia="Arial" w:hAnsi="Arial" w:cs="Arial"/>
          <w:spacing w:val="-3"/>
          <w:sz w:val="24"/>
          <w:szCs w:val="24"/>
        </w:rPr>
        <w:t xml:space="preserve"> </w:t>
      </w:r>
      <w:r w:rsidRPr="00155F52">
        <w:rPr>
          <w:rFonts w:ascii="Arial" w:eastAsia="Arial" w:hAnsi="Arial" w:cs="Arial"/>
          <w:sz w:val="24"/>
          <w:szCs w:val="24"/>
        </w:rPr>
        <w:t>follows:</w:t>
      </w:r>
    </w:p>
    <w:p w14:paraId="3D056ECC" w14:textId="77777777" w:rsidR="00155F52" w:rsidRPr="00155F52" w:rsidRDefault="00155F52" w:rsidP="00155F52">
      <w:pPr>
        <w:widowControl w:val="0"/>
        <w:autoSpaceDE w:val="0"/>
        <w:autoSpaceDN w:val="0"/>
        <w:spacing w:after="0" w:line="240" w:lineRule="auto"/>
        <w:jc w:val="both"/>
        <w:rPr>
          <w:rFonts w:ascii="Arial" w:eastAsia="Arial" w:hAnsi="Arial" w:cs="Arial"/>
        </w:rPr>
      </w:pPr>
    </w:p>
    <w:p w14:paraId="14785CA2" w14:textId="77777777" w:rsidR="00155F52" w:rsidRPr="00155F52" w:rsidRDefault="00155F52" w:rsidP="00155F52">
      <w:pPr>
        <w:widowControl w:val="0"/>
        <w:autoSpaceDE w:val="0"/>
        <w:autoSpaceDN w:val="0"/>
        <w:spacing w:after="0" w:line="240" w:lineRule="auto"/>
        <w:jc w:val="center"/>
        <w:rPr>
          <w:rFonts w:ascii="Arial" w:hAnsi="Arial"/>
          <w:noProof/>
        </w:rPr>
      </w:pPr>
      <w:r w:rsidRPr="00155F52">
        <w:rPr>
          <w:rFonts w:ascii="Arial" w:hAnsi="Arial"/>
          <w:noProof/>
        </w:rPr>
        <w:lastRenderedPageBreak/>
        <w:drawing>
          <wp:inline distT="0" distB="0" distL="0" distR="0" wp14:anchorId="317538AB" wp14:editId="790BB496">
            <wp:extent cx="4914900" cy="1924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4900" cy="1924050"/>
                    </a:xfrm>
                    <a:prstGeom prst="rect">
                      <a:avLst/>
                    </a:prstGeom>
                    <a:noFill/>
                    <a:ln>
                      <a:noFill/>
                    </a:ln>
                  </pic:spPr>
                </pic:pic>
              </a:graphicData>
            </a:graphic>
          </wp:inline>
        </w:drawing>
      </w:r>
    </w:p>
    <w:p w14:paraId="68866221" w14:textId="77777777" w:rsidR="00155F52" w:rsidRPr="00155F52" w:rsidRDefault="00155F52" w:rsidP="00155F52">
      <w:pPr>
        <w:widowControl w:val="0"/>
        <w:autoSpaceDE w:val="0"/>
        <w:autoSpaceDN w:val="0"/>
        <w:spacing w:after="0" w:line="240" w:lineRule="auto"/>
        <w:jc w:val="both"/>
        <w:rPr>
          <w:rFonts w:ascii="Arial" w:hAnsi="Arial"/>
          <w:noProof/>
        </w:rPr>
      </w:pPr>
    </w:p>
    <w:p w14:paraId="066F7D6F" w14:textId="77777777" w:rsidR="00155F52" w:rsidRPr="00155F52" w:rsidRDefault="00155F52" w:rsidP="00155F52">
      <w:pPr>
        <w:widowControl w:val="0"/>
        <w:autoSpaceDE w:val="0"/>
        <w:autoSpaceDN w:val="0"/>
        <w:spacing w:before="7" w:after="0" w:line="240" w:lineRule="auto"/>
        <w:rPr>
          <w:rFonts w:ascii="Arial" w:eastAsia="Arial" w:hAnsi="Arial" w:cs="Arial"/>
          <w:sz w:val="10"/>
          <w:szCs w:val="24"/>
        </w:rPr>
      </w:pPr>
    </w:p>
    <w:p w14:paraId="7E2BBEF2" w14:textId="77777777" w:rsidR="00155F52" w:rsidRPr="00155F52" w:rsidRDefault="00155F52" w:rsidP="00155F52">
      <w:pPr>
        <w:widowControl w:val="0"/>
        <w:autoSpaceDE w:val="0"/>
        <w:autoSpaceDN w:val="0"/>
        <w:spacing w:after="0" w:line="240" w:lineRule="auto"/>
        <w:rPr>
          <w:rFonts w:ascii="Arial" w:eastAsia="Arial" w:hAnsi="Arial" w:cs="Arial"/>
          <w:sz w:val="20"/>
          <w:szCs w:val="24"/>
        </w:rPr>
      </w:pPr>
    </w:p>
    <w:p w14:paraId="6F494FE2" w14:textId="77777777" w:rsidR="00155F52" w:rsidRPr="00155F52" w:rsidRDefault="00155F52" w:rsidP="00155F52">
      <w:pPr>
        <w:widowControl w:val="0"/>
        <w:autoSpaceDE w:val="0"/>
        <w:autoSpaceDN w:val="0"/>
        <w:spacing w:before="2" w:after="0" w:line="240" w:lineRule="auto"/>
        <w:rPr>
          <w:rFonts w:ascii="Arial" w:eastAsia="Arial" w:hAnsi="Arial" w:cs="Arial"/>
          <w:sz w:val="23"/>
          <w:szCs w:val="24"/>
        </w:rPr>
      </w:pPr>
    </w:p>
    <w:p w14:paraId="6A8A889C" w14:textId="77777777" w:rsidR="00155F52" w:rsidRPr="00155F52" w:rsidRDefault="00155F52" w:rsidP="00155F52">
      <w:pPr>
        <w:widowControl w:val="0"/>
        <w:autoSpaceDE w:val="0"/>
        <w:autoSpaceDN w:val="0"/>
        <w:spacing w:after="0" w:line="240" w:lineRule="auto"/>
        <w:ind w:right="553"/>
        <w:rPr>
          <w:rFonts w:ascii="Arial" w:eastAsia="Arial" w:hAnsi="Arial" w:cs="Arial"/>
          <w:sz w:val="24"/>
          <w:szCs w:val="24"/>
        </w:rPr>
      </w:pPr>
      <w:r w:rsidRPr="00155F52">
        <w:rPr>
          <w:rFonts w:ascii="Arial" w:eastAsia="Arial" w:hAnsi="Arial" w:cs="Arial"/>
          <w:sz w:val="24"/>
          <w:szCs w:val="24"/>
        </w:rPr>
        <w:t>*LOBOs</w:t>
      </w:r>
      <w:r w:rsidRPr="00155F52">
        <w:rPr>
          <w:rFonts w:ascii="Arial" w:eastAsia="Arial" w:hAnsi="Arial" w:cs="Arial"/>
          <w:spacing w:val="-15"/>
          <w:sz w:val="24"/>
          <w:szCs w:val="24"/>
        </w:rPr>
        <w:t xml:space="preserve"> </w:t>
      </w:r>
      <w:r w:rsidRPr="00155F52">
        <w:rPr>
          <w:rFonts w:ascii="Arial" w:eastAsia="Arial" w:hAnsi="Arial" w:cs="Arial"/>
          <w:sz w:val="24"/>
          <w:szCs w:val="24"/>
        </w:rPr>
        <w:t>are</w:t>
      </w:r>
      <w:r w:rsidRPr="00155F52">
        <w:rPr>
          <w:rFonts w:ascii="Arial" w:eastAsia="Arial" w:hAnsi="Arial" w:cs="Arial"/>
          <w:spacing w:val="-11"/>
          <w:sz w:val="24"/>
          <w:szCs w:val="24"/>
        </w:rPr>
        <w:t xml:space="preserve"> </w:t>
      </w:r>
      <w:r w:rsidRPr="00155F52">
        <w:rPr>
          <w:rFonts w:ascii="Arial" w:eastAsia="Arial" w:hAnsi="Arial" w:cs="Arial"/>
          <w:sz w:val="24"/>
          <w:szCs w:val="24"/>
        </w:rPr>
        <w:t>classed</w:t>
      </w:r>
      <w:r w:rsidRPr="00155F52">
        <w:rPr>
          <w:rFonts w:ascii="Arial" w:eastAsia="Arial" w:hAnsi="Arial" w:cs="Arial"/>
          <w:spacing w:val="-14"/>
          <w:sz w:val="24"/>
          <w:szCs w:val="24"/>
        </w:rPr>
        <w:t xml:space="preserve"> </w:t>
      </w:r>
      <w:r w:rsidRPr="00155F52">
        <w:rPr>
          <w:rFonts w:ascii="Arial" w:eastAsia="Arial" w:hAnsi="Arial" w:cs="Arial"/>
          <w:sz w:val="24"/>
          <w:szCs w:val="24"/>
        </w:rPr>
        <w:t>as</w:t>
      </w:r>
      <w:r w:rsidRPr="00155F52">
        <w:rPr>
          <w:rFonts w:ascii="Arial" w:eastAsia="Arial" w:hAnsi="Arial" w:cs="Arial"/>
          <w:spacing w:val="-14"/>
          <w:sz w:val="24"/>
          <w:szCs w:val="24"/>
        </w:rPr>
        <w:t xml:space="preserve"> </w:t>
      </w:r>
      <w:r w:rsidRPr="00155F52">
        <w:rPr>
          <w:rFonts w:ascii="Arial" w:eastAsia="Arial" w:hAnsi="Arial" w:cs="Arial"/>
          <w:sz w:val="24"/>
          <w:szCs w:val="24"/>
        </w:rPr>
        <w:t>fixed</w:t>
      </w:r>
      <w:r w:rsidRPr="00155F52">
        <w:rPr>
          <w:rFonts w:ascii="Arial" w:eastAsia="Arial" w:hAnsi="Arial" w:cs="Arial"/>
          <w:spacing w:val="-11"/>
          <w:sz w:val="24"/>
          <w:szCs w:val="24"/>
        </w:rPr>
        <w:t xml:space="preserve"> </w:t>
      </w:r>
      <w:r w:rsidRPr="00155F52">
        <w:rPr>
          <w:rFonts w:ascii="Arial" w:eastAsia="Arial" w:hAnsi="Arial" w:cs="Arial"/>
          <w:sz w:val="24"/>
          <w:szCs w:val="24"/>
        </w:rPr>
        <w:t>rate</w:t>
      </w:r>
      <w:r w:rsidRPr="00155F52">
        <w:rPr>
          <w:rFonts w:ascii="Arial" w:eastAsia="Arial" w:hAnsi="Arial" w:cs="Arial"/>
          <w:spacing w:val="-14"/>
          <w:sz w:val="24"/>
          <w:szCs w:val="24"/>
        </w:rPr>
        <w:t xml:space="preserve"> </w:t>
      </w:r>
      <w:r w:rsidRPr="00155F52">
        <w:rPr>
          <w:rFonts w:ascii="Arial" w:eastAsia="Arial" w:hAnsi="Arial" w:cs="Arial"/>
          <w:sz w:val="24"/>
          <w:szCs w:val="24"/>
        </w:rPr>
        <w:t>debt</w:t>
      </w:r>
      <w:r w:rsidRPr="00155F52">
        <w:rPr>
          <w:rFonts w:ascii="Arial" w:eastAsia="Arial" w:hAnsi="Arial" w:cs="Arial"/>
          <w:spacing w:val="-13"/>
          <w:sz w:val="24"/>
          <w:szCs w:val="24"/>
        </w:rPr>
        <w:t xml:space="preserve"> </w:t>
      </w:r>
      <w:r w:rsidRPr="00155F52">
        <w:rPr>
          <w:rFonts w:ascii="Arial" w:eastAsia="Arial" w:hAnsi="Arial" w:cs="Arial"/>
          <w:sz w:val="24"/>
          <w:szCs w:val="24"/>
        </w:rPr>
        <w:t>unless</w:t>
      </w:r>
      <w:r w:rsidRPr="00155F52">
        <w:rPr>
          <w:rFonts w:ascii="Arial" w:eastAsia="Arial" w:hAnsi="Arial" w:cs="Arial"/>
          <w:spacing w:val="-15"/>
          <w:sz w:val="24"/>
          <w:szCs w:val="24"/>
        </w:rPr>
        <w:t xml:space="preserve"> </w:t>
      </w:r>
      <w:r w:rsidRPr="00155F52">
        <w:rPr>
          <w:rFonts w:ascii="Arial" w:eastAsia="Arial" w:hAnsi="Arial" w:cs="Arial"/>
          <w:sz w:val="24"/>
          <w:szCs w:val="24"/>
        </w:rPr>
        <w:t>it</w:t>
      </w:r>
      <w:r w:rsidRPr="00155F52">
        <w:rPr>
          <w:rFonts w:ascii="Arial" w:eastAsia="Arial" w:hAnsi="Arial" w:cs="Arial"/>
          <w:spacing w:val="-11"/>
          <w:sz w:val="24"/>
          <w:szCs w:val="24"/>
        </w:rPr>
        <w:t xml:space="preserve"> </w:t>
      </w:r>
      <w:r w:rsidRPr="00155F52">
        <w:rPr>
          <w:rFonts w:ascii="Arial" w:eastAsia="Arial" w:hAnsi="Arial" w:cs="Arial"/>
          <w:sz w:val="24"/>
          <w:szCs w:val="24"/>
        </w:rPr>
        <w:t>is</w:t>
      </w:r>
      <w:r w:rsidRPr="00155F52">
        <w:rPr>
          <w:rFonts w:ascii="Arial" w:eastAsia="Arial" w:hAnsi="Arial" w:cs="Arial"/>
          <w:spacing w:val="-12"/>
          <w:sz w:val="24"/>
          <w:szCs w:val="24"/>
        </w:rPr>
        <w:t xml:space="preserve"> </w:t>
      </w:r>
      <w:r w:rsidRPr="00155F52">
        <w:rPr>
          <w:rFonts w:ascii="Arial" w:eastAsia="Arial" w:hAnsi="Arial" w:cs="Arial"/>
          <w:sz w:val="24"/>
          <w:szCs w:val="24"/>
        </w:rPr>
        <w:t>considered</w:t>
      </w:r>
      <w:r w:rsidRPr="00155F52">
        <w:rPr>
          <w:rFonts w:ascii="Arial" w:eastAsia="Arial" w:hAnsi="Arial" w:cs="Arial"/>
          <w:spacing w:val="-14"/>
          <w:sz w:val="24"/>
          <w:szCs w:val="24"/>
        </w:rPr>
        <w:t xml:space="preserve"> </w:t>
      </w:r>
      <w:r w:rsidRPr="00155F52">
        <w:rPr>
          <w:rFonts w:ascii="Arial" w:eastAsia="Arial" w:hAnsi="Arial" w:cs="Arial"/>
          <w:sz w:val="24"/>
          <w:szCs w:val="24"/>
        </w:rPr>
        <w:t xml:space="preserve">probable </w:t>
      </w:r>
      <w:r w:rsidRPr="00155F52">
        <w:rPr>
          <w:rFonts w:ascii="Arial" w:eastAsia="Arial" w:hAnsi="Arial" w:cs="Arial"/>
          <w:spacing w:val="-63"/>
          <w:sz w:val="24"/>
          <w:szCs w:val="24"/>
        </w:rPr>
        <w:t>that</w:t>
      </w:r>
      <w:r w:rsidRPr="00155F52">
        <w:rPr>
          <w:rFonts w:ascii="Arial" w:eastAsia="Arial" w:hAnsi="Arial" w:cs="Arial"/>
          <w:spacing w:val="-3"/>
          <w:sz w:val="24"/>
          <w:szCs w:val="24"/>
        </w:rPr>
        <w:t xml:space="preserve"> </w:t>
      </w:r>
      <w:r w:rsidRPr="00155F52">
        <w:rPr>
          <w:rFonts w:ascii="Arial" w:eastAsia="Arial" w:hAnsi="Arial" w:cs="Arial"/>
          <w:sz w:val="24"/>
          <w:szCs w:val="24"/>
        </w:rPr>
        <w:t>the</w:t>
      </w:r>
      <w:r w:rsidRPr="00155F52">
        <w:rPr>
          <w:rFonts w:ascii="Arial" w:eastAsia="Arial" w:hAnsi="Arial" w:cs="Arial"/>
          <w:spacing w:val="-1"/>
          <w:sz w:val="24"/>
          <w:szCs w:val="24"/>
        </w:rPr>
        <w:t xml:space="preserve"> </w:t>
      </w:r>
      <w:r w:rsidRPr="00155F52">
        <w:rPr>
          <w:rFonts w:ascii="Arial" w:eastAsia="Arial" w:hAnsi="Arial" w:cs="Arial"/>
          <w:sz w:val="24"/>
          <w:szCs w:val="24"/>
        </w:rPr>
        <w:t>loan</w:t>
      </w:r>
      <w:r w:rsidRPr="00155F52">
        <w:rPr>
          <w:rFonts w:ascii="Arial" w:eastAsia="Arial" w:hAnsi="Arial" w:cs="Arial"/>
          <w:spacing w:val="1"/>
          <w:sz w:val="24"/>
          <w:szCs w:val="24"/>
        </w:rPr>
        <w:t xml:space="preserve"> </w:t>
      </w:r>
      <w:r w:rsidRPr="00155F52">
        <w:rPr>
          <w:rFonts w:ascii="Arial" w:eastAsia="Arial" w:hAnsi="Arial" w:cs="Arial"/>
          <w:sz w:val="24"/>
          <w:szCs w:val="24"/>
        </w:rPr>
        <w:t>option will be</w:t>
      </w:r>
      <w:r w:rsidRPr="00155F52">
        <w:rPr>
          <w:rFonts w:ascii="Arial" w:eastAsia="Arial" w:hAnsi="Arial" w:cs="Arial"/>
          <w:spacing w:val="-1"/>
          <w:sz w:val="24"/>
          <w:szCs w:val="24"/>
        </w:rPr>
        <w:t xml:space="preserve"> </w:t>
      </w:r>
      <w:r w:rsidRPr="00155F52">
        <w:rPr>
          <w:rFonts w:ascii="Arial" w:eastAsia="Arial" w:hAnsi="Arial" w:cs="Arial"/>
          <w:sz w:val="24"/>
          <w:szCs w:val="24"/>
        </w:rPr>
        <w:t>exercised.</w:t>
      </w:r>
    </w:p>
    <w:p w14:paraId="5FA7BE15" w14:textId="44963D7B" w:rsidR="00155F52" w:rsidRPr="00155F52" w:rsidRDefault="00155F52" w:rsidP="00155F52">
      <w:pPr>
        <w:widowControl w:val="0"/>
        <w:autoSpaceDE w:val="0"/>
        <w:autoSpaceDN w:val="0"/>
        <w:spacing w:before="219" w:after="0" w:line="240" w:lineRule="auto"/>
        <w:rPr>
          <w:rFonts w:ascii="Arial" w:eastAsia="Arial" w:hAnsi="Arial" w:cs="Arial"/>
          <w:sz w:val="24"/>
          <w:szCs w:val="24"/>
        </w:rPr>
      </w:pPr>
      <w:r w:rsidRPr="00155F52">
        <w:rPr>
          <w:rFonts w:ascii="Arial" w:eastAsia="Arial" w:hAnsi="Arial" w:cs="Arial"/>
          <w:sz w:val="24"/>
          <w:szCs w:val="24"/>
          <w:u w:val="single"/>
        </w:rPr>
        <w:t>Total</w:t>
      </w:r>
      <w:r w:rsidRPr="00155F52">
        <w:rPr>
          <w:rFonts w:ascii="Arial" w:eastAsia="Arial" w:hAnsi="Arial" w:cs="Arial"/>
          <w:spacing w:val="-3"/>
          <w:sz w:val="24"/>
          <w:szCs w:val="24"/>
          <w:u w:val="single"/>
        </w:rPr>
        <w:t xml:space="preserve"> </w:t>
      </w:r>
      <w:r w:rsidRPr="00155F52">
        <w:rPr>
          <w:rFonts w:ascii="Arial" w:eastAsia="Arial" w:hAnsi="Arial" w:cs="Arial"/>
          <w:sz w:val="24"/>
          <w:szCs w:val="24"/>
          <w:u w:val="single"/>
        </w:rPr>
        <w:t>principal</w:t>
      </w:r>
      <w:r w:rsidRPr="00155F52">
        <w:rPr>
          <w:rFonts w:ascii="Arial" w:eastAsia="Arial" w:hAnsi="Arial" w:cs="Arial"/>
          <w:spacing w:val="-3"/>
          <w:sz w:val="24"/>
          <w:szCs w:val="24"/>
          <w:u w:val="single"/>
        </w:rPr>
        <w:t xml:space="preserve"> </w:t>
      </w:r>
      <w:r w:rsidRPr="00155F52">
        <w:rPr>
          <w:rFonts w:ascii="Arial" w:eastAsia="Arial" w:hAnsi="Arial" w:cs="Arial"/>
          <w:sz w:val="24"/>
          <w:szCs w:val="24"/>
          <w:u w:val="single"/>
        </w:rPr>
        <w:t>sums</w:t>
      </w:r>
      <w:r w:rsidRPr="00155F52">
        <w:rPr>
          <w:rFonts w:ascii="Arial" w:eastAsia="Arial" w:hAnsi="Arial" w:cs="Arial"/>
          <w:spacing w:val="-3"/>
          <w:sz w:val="24"/>
          <w:szCs w:val="24"/>
          <w:u w:val="single"/>
        </w:rPr>
        <w:t xml:space="preserve"> </w:t>
      </w:r>
      <w:r w:rsidRPr="00155F52">
        <w:rPr>
          <w:rFonts w:ascii="Arial" w:eastAsia="Arial" w:hAnsi="Arial" w:cs="Arial"/>
          <w:sz w:val="24"/>
          <w:szCs w:val="24"/>
          <w:u w:val="single"/>
        </w:rPr>
        <w:t>invested</w:t>
      </w:r>
      <w:r w:rsidRPr="00155F52">
        <w:rPr>
          <w:rFonts w:ascii="Arial" w:eastAsia="Arial" w:hAnsi="Arial" w:cs="Arial"/>
          <w:spacing w:val="-3"/>
          <w:sz w:val="24"/>
          <w:szCs w:val="24"/>
          <w:u w:val="single"/>
        </w:rPr>
        <w:t xml:space="preserve"> </w:t>
      </w:r>
      <w:r w:rsidRPr="00155F52">
        <w:rPr>
          <w:rFonts w:ascii="Arial" w:eastAsia="Arial" w:hAnsi="Arial" w:cs="Arial"/>
          <w:sz w:val="24"/>
          <w:szCs w:val="24"/>
          <w:u w:val="single"/>
        </w:rPr>
        <w:t>for</w:t>
      </w:r>
      <w:r w:rsidRPr="00155F52">
        <w:rPr>
          <w:rFonts w:ascii="Arial" w:eastAsia="Arial" w:hAnsi="Arial" w:cs="Arial"/>
          <w:spacing w:val="-4"/>
          <w:sz w:val="24"/>
          <w:szCs w:val="24"/>
          <w:u w:val="single"/>
        </w:rPr>
        <w:t xml:space="preserve"> </w:t>
      </w:r>
      <w:r w:rsidRPr="00155F52">
        <w:rPr>
          <w:rFonts w:ascii="Arial" w:eastAsia="Arial" w:hAnsi="Arial" w:cs="Arial"/>
          <w:sz w:val="24"/>
          <w:szCs w:val="24"/>
          <w:u w:val="single"/>
        </w:rPr>
        <w:t>periods</w:t>
      </w:r>
      <w:r w:rsidRPr="00155F52">
        <w:rPr>
          <w:rFonts w:ascii="Arial" w:eastAsia="Arial" w:hAnsi="Arial" w:cs="Arial"/>
          <w:spacing w:val="-2"/>
          <w:sz w:val="24"/>
          <w:szCs w:val="24"/>
          <w:u w:val="single"/>
        </w:rPr>
        <w:t xml:space="preserve"> </w:t>
      </w:r>
      <w:r w:rsidRPr="00155F52">
        <w:rPr>
          <w:rFonts w:ascii="Arial" w:eastAsia="Arial" w:hAnsi="Arial" w:cs="Arial"/>
          <w:sz w:val="24"/>
          <w:szCs w:val="24"/>
          <w:u w:val="single"/>
        </w:rPr>
        <w:t>longer</w:t>
      </w:r>
      <w:r w:rsidRPr="00155F52">
        <w:rPr>
          <w:rFonts w:ascii="Arial" w:eastAsia="Arial" w:hAnsi="Arial" w:cs="Arial"/>
          <w:spacing w:val="-4"/>
          <w:sz w:val="24"/>
          <w:szCs w:val="24"/>
          <w:u w:val="single"/>
        </w:rPr>
        <w:t xml:space="preserve"> </w:t>
      </w:r>
      <w:r w:rsidRPr="00155F52">
        <w:rPr>
          <w:rFonts w:ascii="Arial" w:eastAsia="Arial" w:hAnsi="Arial" w:cs="Arial"/>
          <w:sz w:val="24"/>
          <w:szCs w:val="24"/>
          <w:u w:val="single"/>
        </w:rPr>
        <w:t>than</w:t>
      </w:r>
      <w:r w:rsidRPr="00155F52">
        <w:rPr>
          <w:rFonts w:ascii="Arial" w:eastAsia="Arial" w:hAnsi="Arial" w:cs="Arial"/>
          <w:spacing w:val="-2"/>
          <w:sz w:val="24"/>
          <w:szCs w:val="24"/>
          <w:u w:val="single"/>
        </w:rPr>
        <w:t xml:space="preserve"> </w:t>
      </w:r>
      <w:r w:rsidRPr="00155F52">
        <w:rPr>
          <w:rFonts w:ascii="Arial" w:eastAsia="Arial" w:hAnsi="Arial" w:cs="Arial"/>
          <w:sz w:val="24"/>
          <w:szCs w:val="24"/>
          <w:u w:val="single"/>
        </w:rPr>
        <w:t>364</w:t>
      </w:r>
      <w:r w:rsidRPr="00155F52">
        <w:rPr>
          <w:rFonts w:ascii="Arial" w:eastAsia="Arial" w:hAnsi="Arial" w:cs="Arial"/>
          <w:spacing w:val="-3"/>
          <w:sz w:val="24"/>
          <w:szCs w:val="24"/>
          <w:u w:val="single"/>
        </w:rPr>
        <w:t xml:space="preserve"> </w:t>
      </w:r>
      <w:r w:rsidR="001078F2" w:rsidRPr="00155F52">
        <w:rPr>
          <w:rFonts w:ascii="Arial" w:eastAsia="Arial" w:hAnsi="Arial" w:cs="Arial"/>
          <w:sz w:val="24"/>
          <w:szCs w:val="24"/>
          <w:u w:val="single"/>
        </w:rPr>
        <w:t>days.</w:t>
      </w:r>
    </w:p>
    <w:p w14:paraId="41341DAC" w14:textId="43EF6B03" w:rsidR="00155F52" w:rsidRPr="00155F52" w:rsidRDefault="00155F52" w:rsidP="00155F52">
      <w:pPr>
        <w:widowControl w:val="0"/>
        <w:autoSpaceDE w:val="0"/>
        <w:autoSpaceDN w:val="0"/>
        <w:spacing w:before="220" w:after="0" w:line="240" w:lineRule="auto"/>
        <w:ind w:right="553"/>
        <w:rPr>
          <w:rFonts w:ascii="Arial" w:eastAsia="Arial" w:hAnsi="Arial" w:cs="Arial"/>
          <w:sz w:val="24"/>
          <w:szCs w:val="24"/>
        </w:rPr>
      </w:pPr>
      <w:r w:rsidRPr="00155F52">
        <w:rPr>
          <w:rFonts w:ascii="Arial" w:eastAsia="Arial" w:hAnsi="Arial" w:cs="Arial"/>
          <w:sz w:val="24"/>
          <w:szCs w:val="24"/>
        </w:rPr>
        <w:t>The</w:t>
      </w:r>
      <w:r w:rsidRPr="00155F52">
        <w:rPr>
          <w:rFonts w:ascii="Arial" w:eastAsia="Arial" w:hAnsi="Arial" w:cs="Arial"/>
          <w:spacing w:val="17"/>
          <w:sz w:val="24"/>
          <w:szCs w:val="24"/>
        </w:rPr>
        <w:t xml:space="preserve"> </w:t>
      </w:r>
      <w:r w:rsidRPr="00155F52">
        <w:rPr>
          <w:rFonts w:ascii="Arial" w:eastAsia="Arial" w:hAnsi="Arial" w:cs="Arial"/>
          <w:sz w:val="24"/>
          <w:szCs w:val="24"/>
        </w:rPr>
        <w:t>Authority</w:t>
      </w:r>
      <w:r w:rsidRPr="00155F52">
        <w:rPr>
          <w:rFonts w:ascii="Arial" w:eastAsia="Arial" w:hAnsi="Arial" w:cs="Arial"/>
          <w:spacing w:val="14"/>
          <w:sz w:val="24"/>
          <w:szCs w:val="24"/>
        </w:rPr>
        <w:t xml:space="preserve"> </w:t>
      </w:r>
      <w:r w:rsidRPr="00155F52">
        <w:rPr>
          <w:rFonts w:ascii="Arial" w:eastAsia="Arial" w:hAnsi="Arial" w:cs="Arial"/>
          <w:sz w:val="24"/>
          <w:szCs w:val="24"/>
        </w:rPr>
        <w:t>is</w:t>
      </w:r>
      <w:r w:rsidRPr="00155F52">
        <w:rPr>
          <w:rFonts w:ascii="Arial" w:eastAsia="Arial" w:hAnsi="Arial" w:cs="Arial"/>
          <w:spacing w:val="17"/>
          <w:sz w:val="24"/>
          <w:szCs w:val="24"/>
        </w:rPr>
        <w:t xml:space="preserve"> </w:t>
      </w:r>
      <w:r w:rsidRPr="00155F52">
        <w:rPr>
          <w:rFonts w:ascii="Arial" w:eastAsia="Arial" w:hAnsi="Arial" w:cs="Arial"/>
          <w:sz w:val="24"/>
          <w:szCs w:val="24"/>
        </w:rPr>
        <w:t>not</w:t>
      </w:r>
      <w:r w:rsidRPr="00155F52">
        <w:rPr>
          <w:rFonts w:ascii="Arial" w:eastAsia="Arial" w:hAnsi="Arial" w:cs="Arial"/>
          <w:spacing w:val="17"/>
          <w:sz w:val="24"/>
          <w:szCs w:val="24"/>
        </w:rPr>
        <w:t xml:space="preserve"> </w:t>
      </w:r>
      <w:r w:rsidRPr="00155F52">
        <w:rPr>
          <w:rFonts w:ascii="Arial" w:eastAsia="Arial" w:hAnsi="Arial" w:cs="Arial"/>
          <w:sz w:val="24"/>
          <w:szCs w:val="24"/>
        </w:rPr>
        <w:t>intending</w:t>
      </w:r>
      <w:r w:rsidRPr="00155F52">
        <w:rPr>
          <w:rFonts w:ascii="Arial" w:eastAsia="Arial" w:hAnsi="Arial" w:cs="Arial"/>
          <w:spacing w:val="15"/>
          <w:sz w:val="24"/>
          <w:szCs w:val="24"/>
        </w:rPr>
        <w:t xml:space="preserve"> </w:t>
      </w:r>
      <w:r w:rsidRPr="00155F52">
        <w:rPr>
          <w:rFonts w:ascii="Arial" w:eastAsia="Arial" w:hAnsi="Arial" w:cs="Arial"/>
          <w:sz w:val="24"/>
          <w:szCs w:val="24"/>
        </w:rPr>
        <w:t>to</w:t>
      </w:r>
      <w:r w:rsidRPr="00155F52">
        <w:rPr>
          <w:rFonts w:ascii="Arial" w:eastAsia="Arial" w:hAnsi="Arial" w:cs="Arial"/>
          <w:spacing w:val="18"/>
          <w:sz w:val="24"/>
          <w:szCs w:val="24"/>
        </w:rPr>
        <w:t xml:space="preserve"> </w:t>
      </w:r>
      <w:r w:rsidRPr="00155F52">
        <w:rPr>
          <w:rFonts w:ascii="Arial" w:eastAsia="Arial" w:hAnsi="Arial" w:cs="Arial"/>
          <w:sz w:val="24"/>
          <w:szCs w:val="24"/>
        </w:rPr>
        <w:t>invest</w:t>
      </w:r>
      <w:r w:rsidRPr="00155F52">
        <w:rPr>
          <w:rFonts w:ascii="Arial" w:eastAsia="Arial" w:hAnsi="Arial" w:cs="Arial"/>
          <w:spacing w:val="17"/>
          <w:sz w:val="24"/>
          <w:szCs w:val="24"/>
        </w:rPr>
        <w:t xml:space="preserve"> </w:t>
      </w:r>
      <w:r w:rsidRPr="00155F52">
        <w:rPr>
          <w:rFonts w:ascii="Arial" w:eastAsia="Arial" w:hAnsi="Arial" w:cs="Arial"/>
          <w:sz w:val="24"/>
          <w:szCs w:val="24"/>
        </w:rPr>
        <w:t>sums</w:t>
      </w:r>
      <w:r w:rsidRPr="00155F52">
        <w:rPr>
          <w:rFonts w:ascii="Arial" w:eastAsia="Arial" w:hAnsi="Arial" w:cs="Arial"/>
          <w:spacing w:val="15"/>
          <w:sz w:val="24"/>
          <w:szCs w:val="24"/>
        </w:rPr>
        <w:t xml:space="preserve"> </w:t>
      </w:r>
      <w:r w:rsidRPr="00155F52">
        <w:rPr>
          <w:rFonts w:ascii="Arial" w:eastAsia="Arial" w:hAnsi="Arial" w:cs="Arial"/>
          <w:sz w:val="24"/>
          <w:szCs w:val="24"/>
        </w:rPr>
        <w:t>for</w:t>
      </w:r>
      <w:r w:rsidRPr="00155F52">
        <w:rPr>
          <w:rFonts w:ascii="Arial" w:eastAsia="Arial" w:hAnsi="Arial" w:cs="Arial"/>
          <w:spacing w:val="16"/>
          <w:sz w:val="24"/>
          <w:szCs w:val="24"/>
        </w:rPr>
        <w:t xml:space="preserve"> </w:t>
      </w:r>
      <w:r w:rsidRPr="00155F52">
        <w:rPr>
          <w:rFonts w:ascii="Arial" w:eastAsia="Arial" w:hAnsi="Arial" w:cs="Arial"/>
          <w:sz w:val="24"/>
          <w:szCs w:val="24"/>
        </w:rPr>
        <w:t>periods</w:t>
      </w:r>
      <w:r w:rsidRPr="00155F52">
        <w:rPr>
          <w:rFonts w:ascii="Arial" w:eastAsia="Arial" w:hAnsi="Arial" w:cs="Arial"/>
          <w:spacing w:val="16"/>
          <w:sz w:val="24"/>
          <w:szCs w:val="24"/>
        </w:rPr>
        <w:t xml:space="preserve"> </w:t>
      </w:r>
      <w:r w:rsidRPr="00155F52">
        <w:rPr>
          <w:rFonts w:ascii="Arial" w:eastAsia="Arial" w:hAnsi="Arial" w:cs="Arial"/>
          <w:sz w:val="24"/>
          <w:szCs w:val="24"/>
        </w:rPr>
        <w:t>longer</w:t>
      </w:r>
      <w:r w:rsidRPr="00155F52">
        <w:rPr>
          <w:rFonts w:ascii="Arial" w:eastAsia="Arial" w:hAnsi="Arial" w:cs="Arial"/>
          <w:spacing w:val="17"/>
          <w:sz w:val="24"/>
          <w:szCs w:val="24"/>
        </w:rPr>
        <w:t xml:space="preserve"> </w:t>
      </w:r>
      <w:r w:rsidRPr="00155F52">
        <w:rPr>
          <w:rFonts w:ascii="Arial" w:eastAsia="Arial" w:hAnsi="Arial" w:cs="Arial"/>
          <w:sz w:val="24"/>
          <w:szCs w:val="24"/>
        </w:rPr>
        <w:t>than</w:t>
      </w:r>
      <w:r w:rsidRPr="00155F52">
        <w:rPr>
          <w:rFonts w:ascii="Arial" w:eastAsia="Arial" w:hAnsi="Arial" w:cs="Arial"/>
          <w:spacing w:val="-64"/>
          <w:sz w:val="24"/>
          <w:szCs w:val="24"/>
        </w:rPr>
        <w:t xml:space="preserve"> </w:t>
      </w:r>
      <w:r w:rsidRPr="00155F52">
        <w:rPr>
          <w:rFonts w:ascii="Arial" w:eastAsia="Arial" w:hAnsi="Arial" w:cs="Arial"/>
          <w:sz w:val="24"/>
          <w:szCs w:val="24"/>
        </w:rPr>
        <w:t>364</w:t>
      </w:r>
      <w:r w:rsidRPr="00155F52">
        <w:rPr>
          <w:rFonts w:ascii="Arial" w:eastAsia="Arial" w:hAnsi="Arial" w:cs="Arial"/>
          <w:spacing w:val="-2"/>
          <w:sz w:val="24"/>
          <w:szCs w:val="24"/>
        </w:rPr>
        <w:t xml:space="preserve"> </w:t>
      </w:r>
      <w:r w:rsidR="001078F2" w:rsidRPr="00155F52">
        <w:rPr>
          <w:rFonts w:ascii="Arial" w:eastAsia="Arial" w:hAnsi="Arial" w:cs="Arial"/>
          <w:sz w:val="24"/>
          <w:szCs w:val="24"/>
        </w:rPr>
        <w:t>days.</w:t>
      </w:r>
    </w:p>
    <w:p w14:paraId="0763147F" w14:textId="77777777" w:rsidR="00155F52" w:rsidRPr="00155F52" w:rsidRDefault="00155F52" w:rsidP="00155F52">
      <w:pPr>
        <w:widowControl w:val="0"/>
        <w:autoSpaceDE w:val="0"/>
        <w:autoSpaceDN w:val="0"/>
        <w:spacing w:before="220" w:after="0" w:line="240" w:lineRule="auto"/>
        <w:ind w:right="553"/>
        <w:rPr>
          <w:rFonts w:ascii="Arial" w:eastAsia="Arial" w:hAnsi="Arial" w:cs="Arial"/>
          <w:sz w:val="24"/>
          <w:szCs w:val="24"/>
        </w:rPr>
      </w:pPr>
    </w:p>
    <w:p w14:paraId="7F160AC6" w14:textId="77777777" w:rsidR="00155F52" w:rsidRPr="00155F52" w:rsidRDefault="00155F52" w:rsidP="00155F52">
      <w:pPr>
        <w:widowControl w:val="0"/>
        <w:autoSpaceDE w:val="0"/>
        <w:autoSpaceDN w:val="0"/>
        <w:spacing w:before="220" w:after="0" w:line="240" w:lineRule="auto"/>
        <w:ind w:right="553"/>
        <w:rPr>
          <w:rFonts w:ascii="Arial" w:eastAsia="Arial" w:hAnsi="Arial" w:cs="Arial"/>
          <w:sz w:val="24"/>
          <w:szCs w:val="24"/>
          <w:u w:val="single"/>
        </w:rPr>
      </w:pPr>
      <w:r w:rsidRPr="00155F52">
        <w:rPr>
          <w:rFonts w:ascii="Arial" w:eastAsia="Arial" w:hAnsi="Arial" w:cs="Arial"/>
          <w:sz w:val="24"/>
          <w:szCs w:val="24"/>
          <w:u w:val="single"/>
        </w:rPr>
        <w:t>Liability Benchmark</w:t>
      </w:r>
    </w:p>
    <w:p w14:paraId="0BA84871" w14:textId="77777777" w:rsidR="00155F52" w:rsidRPr="00155F52" w:rsidRDefault="00155F52" w:rsidP="00155F52">
      <w:pPr>
        <w:widowControl w:val="0"/>
        <w:tabs>
          <w:tab w:val="left" w:pos="9765"/>
        </w:tabs>
        <w:autoSpaceDE w:val="0"/>
        <w:autoSpaceDN w:val="0"/>
        <w:spacing w:before="220" w:after="0" w:line="240" w:lineRule="auto"/>
        <w:ind w:right="553"/>
        <w:jc w:val="both"/>
        <w:rPr>
          <w:rFonts w:ascii="Arial" w:hAnsi="Arial"/>
          <w:sz w:val="24"/>
          <w:szCs w:val="24"/>
        </w:rPr>
      </w:pPr>
      <w:r w:rsidRPr="00155F52">
        <w:rPr>
          <w:rFonts w:ascii="Arial" w:hAnsi="Arial"/>
          <w:sz w:val="24"/>
          <w:szCs w:val="24"/>
        </w:rPr>
        <w:t>The liability benchmark is a projection of the amount of loan debt outstanding that the Authority needs each year into the future to fund its existing debt liabilities, planned prudential borrowing and other cash flows. It is a long-term forecast of the Authority’s gross loan debt (or ‘gross loans requirement’) based on its current capital programme and other forecast cash flow movements.</w:t>
      </w:r>
    </w:p>
    <w:p w14:paraId="51EFC9ED" w14:textId="77777777" w:rsidR="00155F52" w:rsidRPr="00155F52" w:rsidRDefault="00155F52" w:rsidP="00155F52">
      <w:pPr>
        <w:widowControl w:val="0"/>
        <w:autoSpaceDE w:val="0"/>
        <w:autoSpaceDN w:val="0"/>
        <w:spacing w:before="220" w:after="0" w:line="240" w:lineRule="auto"/>
        <w:ind w:right="553"/>
        <w:jc w:val="both"/>
        <w:rPr>
          <w:rFonts w:ascii="Arial" w:hAnsi="Arial"/>
          <w:sz w:val="24"/>
          <w:szCs w:val="24"/>
        </w:rPr>
      </w:pPr>
      <w:r w:rsidRPr="00155F52">
        <w:rPr>
          <w:rFonts w:ascii="Arial" w:hAnsi="Arial"/>
          <w:sz w:val="24"/>
          <w:szCs w:val="24"/>
        </w:rPr>
        <w:t xml:space="preserve">This is shown by the gap between the Authority’s existing loans that are still outstanding at a given future date and the Authority’s future need for borrowing (as shown by the liability benchmark). </w:t>
      </w:r>
    </w:p>
    <w:p w14:paraId="77226FBF" w14:textId="77777777" w:rsidR="00155F52" w:rsidRPr="00155F52" w:rsidRDefault="00155F52" w:rsidP="00155F52">
      <w:pPr>
        <w:widowControl w:val="0"/>
        <w:autoSpaceDE w:val="0"/>
        <w:autoSpaceDN w:val="0"/>
        <w:spacing w:before="220" w:after="0" w:line="240" w:lineRule="auto"/>
        <w:ind w:right="553"/>
        <w:jc w:val="both"/>
        <w:rPr>
          <w:rFonts w:ascii="Arial" w:hAnsi="Arial"/>
          <w:sz w:val="24"/>
          <w:szCs w:val="24"/>
        </w:rPr>
      </w:pPr>
      <w:r w:rsidRPr="00155F52">
        <w:rPr>
          <w:rFonts w:ascii="Arial" w:hAnsi="Arial"/>
          <w:sz w:val="24"/>
          <w:szCs w:val="24"/>
        </w:rPr>
        <w:t>It therefore shows how closely the existing loans book fits the future needs of the Authority based only on its current plans. Any shortfall will need to be met by future borrowing; any excess will have to be invested (unless existing borrowing is prematurely repaid). Refinancing risk, interest rate risk and credit risk can be minimised or reduced by ensuring that the existing loans portfolio shows a profile close to the liability benchmark.</w:t>
      </w:r>
    </w:p>
    <w:p w14:paraId="7F25ECBE" w14:textId="77777777" w:rsidR="00155F52" w:rsidRPr="00155F52" w:rsidRDefault="00155F52" w:rsidP="00155F52">
      <w:pPr>
        <w:widowControl w:val="0"/>
        <w:autoSpaceDE w:val="0"/>
        <w:autoSpaceDN w:val="0"/>
        <w:spacing w:before="220" w:after="0" w:line="240" w:lineRule="auto"/>
        <w:ind w:right="553"/>
        <w:jc w:val="both"/>
        <w:rPr>
          <w:rFonts w:ascii="Arial" w:hAnsi="Arial"/>
          <w:sz w:val="24"/>
          <w:szCs w:val="24"/>
        </w:rPr>
      </w:pPr>
      <w:r w:rsidRPr="00155F52">
        <w:rPr>
          <w:rFonts w:ascii="Arial" w:hAnsi="Arial"/>
          <w:sz w:val="24"/>
          <w:szCs w:val="24"/>
        </w:rPr>
        <w:t xml:space="preserve">In particular, the liability benchmark identifies the maturities needed for new borrowing in order to match future liabilities. It therefore avoids borrowing for too long or too short. </w:t>
      </w:r>
    </w:p>
    <w:p w14:paraId="6CF826B0" w14:textId="77777777" w:rsidR="00155F52" w:rsidRPr="00155F52" w:rsidRDefault="00155F52" w:rsidP="00155F52">
      <w:pPr>
        <w:widowControl w:val="0"/>
        <w:autoSpaceDE w:val="0"/>
        <w:autoSpaceDN w:val="0"/>
        <w:spacing w:before="220" w:after="0" w:line="240" w:lineRule="auto"/>
        <w:ind w:right="553"/>
        <w:jc w:val="both"/>
        <w:rPr>
          <w:rFonts w:ascii="Arial" w:hAnsi="Arial"/>
          <w:sz w:val="24"/>
          <w:szCs w:val="24"/>
        </w:rPr>
      </w:pPr>
      <w:r w:rsidRPr="00155F52">
        <w:rPr>
          <w:rFonts w:ascii="Arial" w:hAnsi="Arial"/>
          <w:noProof/>
        </w:rPr>
        <w:lastRenderedPageBreak/>
        <w:drawing>
          <wp:inline distT="0" distB="0" distL="0" distR="0" wp14:anchorId="511BCEBC" wp14:editId="32D6E009">
            <wp:extent cx="6609080" cy="6724650"/>
            <wp:effectExtent l="0" t="0" r="1270" b="0"/>
            <wp:docPr id="12" name="Chart 12">
              <a:extLst xmlns:a="http://schemas.openxmlformats.org/drawingml/2006/main">
                <a:ext uri="{FF2B5EF4-FFF2-40B4-BE49-F238E27FC236}">
                  <a16:creationId xmlns:a16="http://schemas.microsoft.com/office/drawing/2014/main" id="{70F6EC57-487B-4815-9A81-87D8E6D05E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6F11CE9" w14:textId="77777777" w:rsidR="00155F52" w:rsidRPr="00155F52" w:rsidRDefault="00155F52" w:rsidP="00155F52">
      <w:pPr>
        <w:widowControl w:val="0"/>
        <w:autoSpaceDE w:val="0"/>
        <w:autoSpaceDN w:val="0"/>
        <w:spacing w:before="220" w:after="0" w:line="240" w:lineRule="auto"/>
        <w:ind w:right="553"/>
        <w:jc w:val="both"/>
        <w:rPr>
          <w:rFonts w:ascii="Arial" w:hAnsi="Arial"/>
          <w:sz w:val="24"/>
          <w:szCs w:val="24"/>
        </w:rPr>
      </w:pPr>
    </w:p>
    <w:p w14:paraId="6AEECA91" w14:textId="77777777" w:rsidR="00155F52" w:rsidRPr="00155F52" w:rsidRDefault="00155F52" w:rsidP="00155F52">
      <w:pPr>
        <w:widowControl w:val="0"/>
        <w:autoSpaceDE w:val="0"/>
        <w:autoSpaceDN w:val="0"/>
        <w:spacing w:before="220" w:after="0" w:line="240" w:lineRule="auto"/>
        <w:ind w:right="553"/>
        <w:jc w:val="both"/>
        <w:rPr>
          <w:rFonts w:ascii="Arial" w:hAnsi="Arial"/>
          <w:sz w:val="24"/>
          <w:szCs w:val="24"/>
        </w:rPr>
      </w:pPr>
    </w:p>
    <w:p w14:paraId="65DE1828" w14:textId="77777777" w:rsidR="00155F52" w:rsidRPr="00155F52" w:rsidRDefault="00155F52" w:rsidP="00155F52">
      <w:pPr>
        <w:widowControl w:val="0"/>
        <w:autoSpaceDE w:val="0"/>
        <w:autoSpaceDN w:val="0"/>
        <w:spacing w:before="220" w:after="0" w:line="240" w:lineRule="auto"/>
        <w:ind w:right="553"/>
        <w:jc w:val="both"/>
        <w:rPr>
          <w:rFonts w:ascii="Arial" w:hAnsi="Arial"/>
          <w:sz w:val="24"/>
          <w:szCs w:val="24"/>
        </w:rPr>
      </w:pPr>
    </w:p>
    <w:p w14:paraId="14519D90" w14:textId="77777777" w:rsidR="00155F52" w:rsidRPr="00155F52" w:rsidRDefault="00155F52" w:rsidP="00155F52">
      <w:pPr>
        <w:widowControl w:val="0"/>
        <w:autoSpaceDE w:val="0"/>
        <w:autoSpaceDN w:val="0"/>
        <w:spacing w:before="220" w:after="0" w:line="240" w:lineRule="auto"/>
        <w:ind w:right="553"/>
        <w:jc w:val="both"/>
        <w:rPr>
          <w:rFonts w:ascii="Arial" w:hAnsi="Arial"/>
          <w:sz w:val="24"/>
          <w:szCs w:val="24"/>
        </w:rPr>
      </w:pPr>
    </w:p>
    <w:p w14:paraId="5CF218A8" w14:textId="77777777" w:rsidR="0022630E" w:rsidRPr="00F55AC7" w:rsidRDefault="0022630E" w:rsidP="00155F52">
      <w:pPr>
        <w:pStyle w:val="ListParagraph"/>
        <w:rPr>
          <w:rFonts w:ascii="Arial" w:hAnsi="Arial" w:cs="Arial"/>
          <w:b/>
          <w:bCs/>
          <w:sz w:val="24"/>
          <w:szCs w:val="24"/>
        </w:rPr>
      </w:pPr>
    </w:p>
    <w:sectPr w:rsidR="0022630E" w:rsidRPr="00F55A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4C0EA" w14:textId="77777777" w:rsidR="006865DE" w:rsidRDefault="008620FD">
      <w:pPr>
        <w:spacing w:after="0" w:line="240" w:lineRule="auto"/>
      </w:pPr>
      <w:r>
        <w:separator/>
      </w:r>
    </w:p>
  </w:endnote>
  <w:endnote w:type="continuationSeparator" w:id="0">
    <w:p w14:paraId="56252C8C" w14:textId="77777777" w:rsidR="006865DE" w:rsidRDefault="0086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766E" w14:textId="77777777" w:rsidR="00622773" w:rsidRDefault="00285E60">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323AC283" wp14:editId="1344F954">
              <wp:simplePos x="0" y="0"/>
              <wp:positionH relativeFrom="page">
                <wp:posOffset>9726295</wp:posOffset>
              </wp:positionH>
              <wp:positionV relativeFrom="page">
                <wp:posOffset>6837680</wp:posOffset>
              </wp:positionV>
              <wp:extent cx="153035" cy="15367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D75A9" w14:textId="77777777" w:rsidR="00622773" w:rsidRDefault="00285E60">
                          <w:pPr>
                            <w:spacing w:before="14"/>
                            <w:rPr>
                              <w:sz w:val="18"/>
                            </w:rPr>
                          </w:pPr>
                          <w:r>
                            <w:fldChar w:fldCharType="begin"/>
                          </w:r>
                          <w:r>
                            <w:rPr>
                              <w:w w:val="99"/>
                              <w:sz w:val="18"/>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AC283" id="_x0000_t202" coordsize="21600,21600" o:spt="202" path="m,l,21600r21600,l21600,xe">
              <v:stroke joinstyle="miter"/>
              <v:path gradientshapeok="t" o:connecttype="rect"/>
            </v:shapetype>
            <v:shape id="docshape1" o:spid="_x0000_s1026" type="#_x0000_t202" style="position:absolute;margin-left:765.85pt;margin-top:538.4pt;width:12.05pt;height:12.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" filled="f" stroked="f">
              <v:textbox inset="0,0,0,0">
                <w:txbxContent>
                  <w:p w14:paraId="785D75A9" w14:textId="77777777" w:rsidR="00622773" w:rsidRDefault="00285E60">
                    <w:pPr>
                      <w:spacing w:before="14"/>
                      <w:rPr>
                        <w:sz w:val="18"/>
                      </w:rPr>
                    </w:pPr>
                    <w:r>
                      <w:fldChar w:fldCharType="begin"/>
                    </w:r>
                    <w:r>
                      <w:rPr>
                        <w:w w:val="99"/>
                        <w:sz w:val="18"/>
                      </w:rPr>
                      <w:instrText xml:space="preserve"> PAGE </w:instrText>
                    </w:r>
                    <w:r>
                      <w:fldChar w:fldCharType="separate"/>
                    </w:r>
                    <w: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00A6" w14:textId="77777777" w:rsidR="00622773" w:rsidRDefault="00285E6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81DC7E8" wp14:editId="098AF88F">
              <wp:simplePos x="0" y="0"/>
              <wp:positionH relativeFrom="page">
                <wp:posOffset>6423660</wp:posOffset>
              </wp:positionH>
              <wp:positionV relativeFrom="page">
                <wp:posOffset>9969500</wp:posOffset>
              </wp:positionV>
              <wp:extent cx="217170" cy="15367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42AE6" w14:textId="77777777" w:rsidR="00622773" w:rsidRDefault="00285E60">
                          <w:pPr>
                            <w:spacing w:before="14"/>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DC7E8" id="_x0000_t202" coordsize="21600,21600" o:spt="202" path="m,l,21600r21600,l21600,xe">
              <v:stroke joinstyle="miter"/>
              <v:path gradientshapeok="t" o:connecttype="rect"/>
            </v:shapetype>
            <v:shape id="docshape2" o:spid="_x0000_s1027" type="#_x0000_t202" style="position:absolute;margin-left:505.8pt;margin-top:785pt;width:17.1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" filled="f" stroked="f">
              <v:textbox inset="0,0,0,0">
                <w:txbxContent>
                  <w:p w14:paraId="70B42AE6" w14:textId="77777777" w:rsidR="00622773" w:rsidRDefault="00285E60">
                    <w:pPr>
                      <w:spacing w:before="14"/>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C948" w14:textId="77777777" w:rsidR="006865DE" w:rsidRDefault="008620FD">
      <w:pPr>
        <w:spacing w:after="0" w:line="240" w:lineRule="auto"/>
      </w:pPr>
      <w:r>
        <w:separator/>
      </w:r>
    </w:p>
  </w:footnote>
  <w:footnote w:type="continuationSeparator" w:id="0">
    <w:p w14:paraId="77BEB62A" w14:textId="77777777" w:rsidR="006865DE" w:rsidRDefault="00862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917"/>
    <w:multiLevelType w:val="hybridMultilevel"/>
    <w:tmpl w:val="5D6A1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160BEF"/>
    <w:multiLevelType w:val="multilevel"/>
    <w:tmpl w:val="491C37B4"/>
    <w:styleLink w:val="WYFRSHeadingList"/>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418" w:hanging="1418"/>
      </w:pPr>
      <w:rPr>
        <w:rFonts w:hint="default"/>
      </w:rPr>
    </w:lvl>
    <w:lvl w:ilvl="4">
      <w:start w:val="1"/>
      <w:numFmt w:val="decimal"/>
      <w:pStyle w:val="Heading5"/>
      <w:lvlText w:val="%1.%2.%3.%4.%5"/>
      <w:lvlJc w:val="left"/>
      <w:pPr>
        <w:ind w:left="1418" w:hanging="1418"/>
      </w:pPr>
      <w:rPr>
        <w:rFonts w:hint="default"/>
      </w:rPr>
    </w:lvl>
    <w:lvl w:ilvl="5">
      <w:start w:val="1"/>
      <w:numFmt w:val="decimal"/>
      <w:pStyle w:val="Heading6"/>
      <w:lvlText w:val="%1.%2.%3.%4.%5.%6"/>
      <w:lvlJc w:val="left"/>
      <w:pPr>
        <w:ind w:left="1701" w:hanging="1701"/>
      </w:pPr>
      <w:rPr>
        <w:rFonts w:hint="default"/>
      </w:rPr>
    </w:lvl>
    <w:lvl w:ilvl="6">
      <w:start w:val="1"/>
      <w:numFmt w:val="decimal"/>
      <w:pStyle w:val="Heading7"/>
      <w:lvlText w:val="%1.%2.%3.%4.%5.%6.%7"/>
      <w:lvlJc w:val="left"/>
      <w:pPr>
        <w:ind w:left="1701" w:hanging="1701"/>
      </w:pPr>
      <w:rPr>
        <w:rFonts w:hint="default"/>
      </w:rPr>
    </w:lvl>
    <w:lvl w:ilvl="7">
      <w:start w:val="1"/>
      <w:numFmt w:val="decimal"/>
      <w:pStyle w:val="Heading8"/>
      <w:lvlText w:val="%1.%2.%3.%4.%5.%6.%7.%8"/>
      <w:lvlJc w:val="left"/>
      <w:pPr>
        <w:ind w:left="1985" w:hanging="1985"/>
      </w:pPr>
      <w:rPr>
        <w:rFonts w:hint="default"/>
      </w:rPr>
    </w:lvl>
    <w:lvl w:ilvl="8">
      <w:start w:val="1"/>
      <w:numFmt w:val="decimal"/>
      <w:pStyle w:val="Heading9"/>
      <w:lvlText w:val="%1.%2.%3.%4.%5.%6.%7.%8.%9"/>
      <w:lvlJc w:val="left"/>
      <w:pPr>
        <w:ind w:left="1985" w:hanging="1985"/>
      </w:pPr>
      <w:rPr>
        <w:rFonts w:hint="default"/>
      </w:rPr>
    </w:lvl>
  </w:abstractNum>
  <w:abstractNum w:abstractNumId="2" w15:restartNumberingAfterBreak="0">
    <w:nsid w:val="0E1C6E50"/>
    <w:multiLevelType w:val="hybridMultilevel"/>
    <w:tmpl w:val="965268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 w15:restartNumberingAfterBreak="0">
    <w:nsid w:val="21C9432B"/>
    <w:multiLevelType w:val="hybridMultilevel"/>
    <w:tmpl w:val="A8A0A402"/>
    <w:lvl w:ilvl="0" w:tplc="08090001">
      <w:start w:val="1"/>
      <w:numFmt w:val="bullet"/>
      <w:lvlText w:val=""/>
      <w:lvlJc w:val="left"/>
      <w:pPr>
        <w:ind w:left="1323" w:hanging="360"/>
      </w:pPr>
      <w:rPr>
        <w:rFonts w:ascii="Symbol" w:hAnsi="Symbol" w:hint="default"/>
      </w:rPr>
    </w:lvl>
    <w:lvl w:ilvl="1" w:tplc="08090003" w:tentative="1">
      <w:start w:val="1"/>
      <w:numFmt w:val="bullet"/>
      <w:lvlText w:val="o"/>
      <w:lvlJc w:val="left"/>
      <w:pPr>
        <w:ind w:left="2043" w:hanging="360"/>
      </w:pPr>
      <w:rPr>
        <w:rFonts w:ascii="Courier New" w:hAnsi="Courier New" w:cs="Courier New" w:hint="default"/>
      </w:rPr>
    </w:lvl>
    <w:lvl w:ilvl="2" w:tplc="08090005" w:tentative="1">
      <w:start w:val="1"/>
      <w:numFmt w:val="bullet"/>
      <w:lvlText w:val=""/>
      <w:lvlJc w:val="left"/>
      <w:pPr>
        <w:ind w:left="2763" w:hanging="360"/>
      </w:pPr>
      <w:rPr>
        <w:rFonts w:ascii="Wingdings" w:hAnsi="Wingdings" w:hint="default"/>
      </w:rPr>
    </w:lvl>
    <w:lvl w:ilvl="3" w:tplc="08090001" w:tentative="1">
      <w:start w:val="1"/>
      <w:numFmt w:val="bullet"/>
      <w:lvlText w:val=""/>
      <w:lvlJc w:val="left"/>
      <w:pPr>
        <w:ind w:left="3483" w:hanging="360"/>
      </w:pPr>
      <w:rPr>
        <w:rFonts w:ascii="Symbol" w:hAnsi="Symbol" w:hint="default"/>
      </w:rPr>
    </w:lvl>
    <w:lvl w:ilvl="4" w:tplc="08090003" w:tentative="1">
      <w:start w:val="1"/>
      <w:numFmt w:val="bullet"/>
      <w:lvlText w:val="o"/>
      <w:lvlJc w:val="left"/>
      <w:pPr>
        <w:ind w:left="4203" w:hanging="360"/>
      </w:pPr>
      <w:rPr>
        <w:rFonts w:ascii="Courier New" w:hAnsi="Courier New" w:cs="Courier New" w:hint="default"/>
      </w:rPr>
    </w:lvl>
    <w:lvl w:ilvl="5" w:tplc="08090005" w:tentative="1">
      <w:start w:val="1"/>
      <w:numFmt w:val="bullet"/>
      <w:lvlText w:val=""/>
      <w:lvlJc w:val="left"/>
      <w:pPr>
        <w:ind w:left="4923" w:hanging="360"/>
      </w:pPr>
      <w:rPr>
        <w:rFonts w:ascii="Wingdings" w:hAnsi="Wingdings" w:hint="default"/>
      </w:rPr>
    </w:lvl>
    <w:lvl w:ilvl="6" w:tplc="08090001" w:tentative="1">
      <w:start w:val="1"/>
      <w:numFmt w:val="bullet"/>
      <w:lvlText w:val=""/>
      <w:lvlJc w:val="left"/>
      <w:pPr>
        <w:ind w:left="5643" w:hanging="360"/>
      </w:pPr>
      <w:rPr>
        <w:rFonts w:ascii="Symbol" w:hAnsi="Symbol" w:hint="default"/>
      </w:rPr>
    </w:lvl>
    <w:lvl w:ilvl="7" w:tplc="08090003" w:tentative="1">
      <w:start w:val="1"/>
      <w:numFmt w:val="bullet"/>
      <w:lvlText w:val="o"/>
      <w:lvlJc w:val="left"/>
      <w:pPr>
        <w:ind w:left="6363" w:hanging="360"/>
      </w:pPr>
      <w:rPr>
        <w:rFonts w:ascii="Courier New" w:hAnsi="Courier New" w:cs="Courier New" w:hint="default"/>
      </w:rPr>
    </w:lvl>
    <w:lvl w:ilvl="8" w:tplc="08090005" w:tentative="1">
      <w:start w:val="1"/>
      <w:numFmt w:val="bullet"/>
      <w:lvlText w:val=""/>
      <w:lvlJc w:val="left"/>
      <w:pPr>
        <w:ind w:left="7083" w:hanging="360"/>
      </w:pPr>
      <w:rPr>
        <w:rFonts w:ascii="Wingdings" w:hAnsi="Wingdings" w:hint="default"/>
      </w:rPr>
    </w:lvl>
  </w:abstractNum>
  <w:abstractNum w:abstractNumId="4" w15:restartNumberingAfterBreak="0">
    <w:nsid w:val="36A75AF8"/>
    <w:multiLevelType w:val="hybridMultilevel"/>
    <w:tmpl w:val="4740CD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6F5D14"/>
    <w:multiLevelType w:val="hybridMultilevel"/>
    <w:tmpl w:val="FF38C6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3031F49"/>
    <w:multiLevelType w:val="hybridMultilevel"/>
    <w:tmpl w:val="DC844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38B5FA9"/>
    <w:multiLevelType w:val="hybridMultilevel"/>
    <w:tmpl w:val="6CB02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214C9E"/>
    <w:multiLevelType w:val="hybridMultilevel"/>
    <w:tmpl w:val="534E6706"/>
    <w:lvl w:ilvl="0" w:tplc="B3D68FB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E14074"/>
    <w:multiLevelType w:val="hybridMultilevel"/>
    <w:tmpl w:val="938875B4"/>
    <w:lvl w:ilvl="0" w:tplc="6EE47D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19D3142"/>
    <w:multiLevelType w:val="hybridMultilevel"/>
    <w:tmpl w:val="9DC073EE"/>
    <w:lvl w:ilvl="0" w:tplc="77160FFC">
      <w:start w:val="1"/>
      <w:numFmt w:val="decimal"/>
      <w:lvlText w:val="%1."/>
      <w:lvlJc w:val="left"/>
      <w:pPr>
        <w:ind w:left="360" w:hanging="540"/>
      </w:pPr>
      <w:rPr>
        <w:rFonts w:hint="default"/>
        <w:b w:val="0"/>
      </w:rPr>
    </w:lvl>
    <w:lvl w:ilvl="1" w:tplc="08090019">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1" w15:restartNumberingAfterBreak="0">
    <w:nsid w:val="5B5934E7"/>
    <w:multiLevelType w:val="hybridMultilevel"/>
    <w:tmpl w:val="831E9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C5316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70510B"/>
    <w:multiLevelType w:val="multilevel"/>
    <w:tmpl w:val="D242AEAA"/>
    <w:lvl w:ilvl="0">
      <w:start w:val="1"/>
      <w:numFmt w:val="decimal"/>
      <w:lvlText w:val="(%1)"/>
      <w:lvlJc w:val="left"/>
      <w:pPr>
        <w:ind w:left="514" w:hanging="411"/>
      </w:pPr>
      <w:rPr>
        <w:rFonts w:ascii="Arial" w:eastAsia="Arial" w:hAnsi="Arial" w:cs="Arial" w:hint="default"/>
        <w:b w:val="0"/>
        <w:bCs w:val="0"/>
        <w:i w:val="0"/>
        <w:iCs w:val="0"/>
        <w:spacing w:val="-1"/>
        <w:w w:val="99"/>
        <w:sz w:val="20"/>
        <w:szCs w:val="20"/>
        <w:lang w:val="en-GB" w:eastAsia="en-US" w:bidi="ar-SA"/>
      </w:rPr>
    </w:lvl>
    <w:lvl w:ilvl="1">
      <w:start w:val="1"/>
      <w:numFmt w:val="decimal"/>
      <w:lvlText w:val="%2."/>
      <w:lvlJc w:val="left"/>
      <w:pPr>
        <w:ind w:left="809" w:hanging="567"/>
      </w:pPr>
      <w:rPr>
        <w:rFonts w:ascii="Arial" w:eastAsia="Arial" w:hAnsi="Arial" w:cs="Arial" w:hint="default"/>
        <w:b/>
        <w:bCs/>
        <w:i w:val="0"/>
        <w:iCs w:val="0"/>
        <w:w w:val="100"/>
        <w:sz w:val="24"/>
        <w:szCs w:val="24"/>
        <w:lang w:val="en-GB" w:eastAsia="en-US" w:bidi="ar-SA"/>
      </w:rPr>
    </w:lvl>
    <w:lvl w:ilvl="2">
      <w:start w:val="1"/>
      <w:numFmt w:val="decimal"/>
      <w:lvlText w:val="%2.%3"/>
      <w:lvlJc w:val="left"/>
      <w:pPr>
        <w:ind w:left="603" w:hanging="363"/>
      </w:pPr>
      <w:rPr>
        <w:rFonts w:ascii="Arial" w:eastAsia="Arial" w:hAnsi="Arial" w:cs="Arial" w:hint="default"/>
        <w:b w:val="0"/>
        <w:bCs w:val="0"/>
        <w:i w:val="0"/>
        <w:iCs w:val="0"/>
        <w:w w:val="99"/>
        <w:sz w:val="24"/>
        <w:szCs w:val="24"/>
        <w:lang w:val="en-GB" w:eastAsia="en-US" w:bidi="ar-SA"/>
      </w:rPr>
    </w:lvl>
    <w:lvl w:ilvl="3">
      <w:numFmt w:val="bullet"/>
      <w:lvlText w:val=""/>
      <w:lvlJc w:val="left"/>
      <w:pPr>
        <w:ind w:left="1778" w:hanging="360"/>
      </w:pPr>
      <w:rPr>
        <w:rFonts w:ascii="Symbol" w:eastAsia="Symbol" w:hAnsi="Symbol" w:cs="Symbol" w:hint="default"/>
        <w:b w:val="0"/>
        <w:bCs w:val="0"/>
        <w:i w:val="0"/>
        <w:iCs w:val="0"/>
        <w:w w:val="100"/>
        <w:sz w:val="24"/>
        <w:szCs w:val="24"/>
        <w:lang w:val="en-GB" w:eastAsia="en-US" w:bidi="ar-SA"/>
      </w:rPr>
    </w:lvl>
    <w:lvl w:ilvl="4">
      <w:numFmt w:val="bullet"/>
      <w:lvlText w:val="•"/>
      <w:lvlJc w:val="left"/>
      <w:pPr>
        <w:ind w:left="2620" w:hanging="360"/>
      </w:pPr>
      <w:rPr>
        <w:rFonts w:hint="default"/>
        <w:lang w:val="en-GB" w:eastAsia="en-US" w:bidi="ar-SA"/>
      </w:rPr>
    </w:lvl>
    <w:lvl w:ilvl="5">
      <w:numFmt w:val="bullet"/>
      <w:lvlText w:val="•"/>
      <w:lvlJc w:val="left"/>
      <w:pPr>
        <w:ind w:left="3701" w:hanging="360"/>
      </w:pPr>
      <w:rPr>
        <w:rFonts w:hint="default"/>
        <w:lang w:val="en-GB" w:eastAsia="en-US" w:bidi="ar-SA"/>
      </w:rPr>
    </w:lvl>
    <w:lvl w:ilvl="6">
      <w:numFmt w:val="bullet"/>
      <w:lvlText w:val="•"/>
      <w:lvlJc w:val="left"/>
      <w:pPr>
        <w:ind w:left="4782" w:hanging="360"/>
      </w:pPr>
      <w:rPr>
        <w:rFonts w:hint="default"/>
        <w:lang w:val="en-GB" w:eastAsia="en-US" w:bidi="ar-SA"/>
      </w:rPr>
    </w:lvl>
    <w:lvl w:ilvl="7">
      <w:numFmt w:val="bullet"/>
      <w:lvlText w:val="•"/>
      <w:lvlJc w:val="left"/>
      <w:pPr>
        <w:ind w:left="5863" w:hanging="360"/>
      </w:pPr>
      <w:rPr>
        <w:rFonts w:hint="default"/>
        <w:lang w:val="en-GB" w:eastAsia="en-US" w:bidi="ar-SA"/>
      </w:rPr>
    </w:lvl>
    <w:lvl w:ilvl="8">
      <w:numFmt w:val="bullet"/>
      <w:lvlText w:val="•"/>
      <w:lvlJc w:val="left"/>
      <w:pPr>
        <w:ind w:left="6944" w:hanging="360"/>
      </w:pPr>
      <w:rPr>
        <w:rFonts w:hint="default"/>
        <w:lang w:val="en-GB" w:eastAsia="en-US" w:bidi="ar-SA"/>
      </w:rPr>
    </w:lvl>
  </w:abstractNum>
  <w:abstractNum w:abstractNumId="14" w15:restartNumberingAfterBreak="0">
    <w:nsid w:val="62E665A2"/>
    <w:multiLevelType w:val="hybridMultilevel"/>
    <w:tmpl w:val="89C831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A505078"/>
    <w:multiLevelType w:val="hybridMultilevel"/>
    <w:tmpl w:val="82743746"/>
    <w:styleLink w:val="WYFRSHeadingList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D02D3A"/>
    <w:multiLevelType w:val="multilevel"/>
    <w:tmpl w:val="A212360E"/>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AD4503"/>
    <w:multiLevelType w:val="hybridMultilevel"/>
    <w:tmpl w:val="A5E48B9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DAC044E"/>
    <w:multiLevelType w:val="hybridMultilevel"/>
    <w:tmpl w:val="96BA0348"/>
    <w:lvl w:ilvl="0" w:tplc="08090001">
      <w:start w:val="1"/>
      <w:numFmt w:val="bullet"/>
      <w:lvlText w:val=""/>
      <w:lvlJc w:val="left"/>
      <w:pPr>
        <w:ind w:left="1323" w:hanging="360"/>
      </w:pPr>
      <w:rPr>
        <w:rFonts w:ascii="Symbol" w:hAnsi="Symbol" w:hint="default"/>
      </w:rPr>
    </w:lvl>
    <w:lvl w:ilvl="1" w:tplc="08090003" w:tentative="1">
      <w:start w:val="1"/>
      <w:numFmt w:val="bullet"/>
      <w:lvlText w:val="o"/>
      <w:lvlJc w:val="left"/>
      <w:pPr>
        <w:ind w:left="2043" w:hanging="360"/>
      </w:pPr>
      <w:rPr>
        <w:rFonts w:ascii="Courier New" w:hAnsi="Courier New" w:cs="Courier New" w:hint="default"/>
      </w:rPr>
    </w:lvl>
    <w:lvl w:ilvl="2" w:tplc="08090005" w:tentative="1">
      <w:start w:val="1"/>
      <w:numFmt w:val="bullet"/>
      <w:lvlText w:val=""/>
      <w:lvlJc w:val="left"/>
      <w:pPr>
        <w:ind w:left="2763" w:hanging="360"/>
      </w:pPr>
      <w:rPr>
        <w:rFonts w:ascii="Wingdings" w:hAnsi="Wingdings" w:hint="default"/>
      </w:rPr>
    </w:lvl>
    <w:lvl w:ilvl="3" w:tplc="08090001" w:tentative="1">
      <w:start w:val="1"/>
      <w:numFmt w:val="bullet"/>
      <w:lvlText w:val=""/>
      <w:lvlJc w:val="left"/>
      <w:pPr>
        <w:ind w:left="3483" w:hanging="360"/>
      </w:pPr>
      <w:rPr>
        <w:rFonts w:ascii="Symbol" w:hAnsi="Symbol" w:hint="default"/>
      </w:rPr>
    </w:lvl>
    <w:lvl w:ilvl="4" w:tplc="08090003" w:tentative="1">
      <w:start w:val="1"/>
      <w:numFmt w:val="bullet"/>
      <w:lvlText w:val="o"/>
      <w:lvlJc w:val="left"/>
      <w:pPr>
        <w:ind w:left="4203" w:hanging="360"/>
      </w:pPr>
      <w:rPr>
        <w:rFonts w:ascii="Courier New" w:hAnsi="Courier New" w:cs="Courier New" w:hint="default"/>
      </w:rPr>
    </w:lvl>
    <w:lvl w:ilvl="5" w:tplc="08090005" w:tentative="1">
      <w:start w:val="1"/>
      <w:numFmt w:val="bullet"/>
      <w:lvlText w:val=""/>
      <w:lvlJc w:val="left"/>
      <w:pPr>
        <w:ind w:left="4923" w:hanging="360"/>
      </w:pPr>
      <w:rPr>
        <w:rFonts w:ascii="Wingdings" w:hAnsi="Wingdings" w:hint="default"/>
      </w:rPr>
    </w:lvl>
    <w:lvl w:ilvl="6" w:tplc="08090001" w:tentative="1">
      <w:start w:val="1"/>
      <w:numFmt w:val="bullet"/>
      <w:lvlText w:val=""/>
      <w:lvlJc w:val="left"/>
      <w:pPr>
        <w:ind w:left="5643" w:hanging="360"/>
      </w:pPr>
      <w:rPr>
        <w:rFonts w:ascii="Symbol" w:hAnsi="Symbol" w:hint="default"/>
      </w:rPr>
    </w:lvl>
    <w:lvl w:ilvl="7" w:tplc="08090003" w:tentative="1">
      <w:start w:val="1"/>
      <w:numFmt w:val="bullet"/>
      <w:lvlText w:val="o"/>
      <w:lvlJc w:val="left"/>
      <w:pPr>
        <w:ind w:left="6363" w:hanging="360"/>
      </w:pPr>
      <w:rPr>
        <w:rFonts w:ascii="Courier New" w:hAnsi="Courier New" w:cs="Courier New" w:hint="default"/>
      </w:rPr>
    </w:lvl>
    <w:lvl w:ilvl="8" w:tplc="08090005" w:tentative="1">
      <w:start w:val="1"/>
      <w:numFmt w:val="bullet"/>
      <w:lvlText w:val=""/>
      <w:lvlJc w:val="left"/>
      <w:pPr>
        <w:ind w:left="7083" w:hanging="360"/>
      </w:pPr>
      <w:rPr>
        <w:rFonts w:ascii="Wingdings" w:hAnsi="Wingdings" w:hint="default"/>
      </w:rPr>
    </w:lvl>
  </w:abstractNum>
  <w:num w:numId="1" w16cid:durableId="443502105">
    <w:abstractNumId w:val="15"/>
  </w:num>
  <w:num w:numId="2" w16cid:durableId="93482426">
    <w:abstractNumId w:val="7"/>
  </w:num>
  <w:num w:numId="3" w16cid:durableId="804275407">
    <w:abstractNumId w:val="8"/>
  </w:num>
  <w:num w:numId="4" w16cid:durableId="1808551107">
    <w:abstractNumId w:val="9"/>
  </w:num>
  <w:num w:numId="5" w16cid:durableId="1560555466">
    <w:abstractNumId w:val="1"/>
  </w:num>
  <w:num w:numId="6" w16cid:durableId="432169033">
    <w:abstractNumId w:val="17"/>
  </w:num>
  <w:num w:numId="7" w16cid:durableId="483476658">
    <w:abstractNumId w:val="4"/>
  </w:num>
  <w:num w:numId="8" w16cid:durableId="908150932">
    <w:abstractNumId w:val="11"/>
  </w:num>
  <w:num w:numId="9" w16cid:durableId="388695504">
    <w:abstractNumId w:val="6"/>
  </w:num>
  <w:num w:numId="10" w16cid:durableId="675960084">
    <w:abstractNumId w:val="0"/>
  </w:num>
  <w:num w:numId="11" w16cid:durableId="1453092905">
    <w:abstractNumId w:val="1"/>
    <w:lvlOverride w:ilvl="0">
      <w:startOverride w:val="2"/>
    </w:lvlOverride>
    <w:lvlOverride w:ilvl="1">
      <w:startOverride w:val="2"/>
    </w:lvlOverride>
  </w:num>
  <w:num w:numId="12" w16cid:durableId="1978563361">
    <w:abstractNumId w:val="5"/>
  </w:num>
  <w:num w:numId="13" w16cid:durableId="1973053750">
    <w:abstractNumId w:val="2"/>
  </w:num>
  <w:num w:numId="14" w16cid:durableId="1548419470">
    <w:abstractNumId w:val="13"/>
  </w:num>
  <w:num w:numId="15" w16cid:durableId="1233738737">
    <w:abstractNumId w:val="16"/>
  </w:num>
  <w:num w:numId="16" w16cid:durableId="277195">
    <w:abstractNumId w:val="12"/>
  </w:num>
  <w:num w:numId="17" w16cid:durableId="1063066100">
    <w:abstractNumId w:val="10"/>
  </w:num>
  <w:num w:numId="18" w16cid:durableId="1129591766">
    <w:abstractNumId w:val="18"/>
  </w:num>
  <w:num w:numId="19" w16cid:durableId="1504397097">
    <w:abstractNumId w:val="3"/>
  </w:num>
  <w:num w:numId="20" w16cid:durableId="134358434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F3F"/>
    <w:rsid w:val="00007B59"/>
    <w:rsid w:val="001078F2"/>
    <w:rsid w:val="001271CA"/>
    <w:rsid w:val="001534D2"/>
    <w:rsid w:val="00155F52"/>
    <w:rsid w:val="001C7E08"/>
    <w:rsid w:val="00213BE4"/>
    <w:rsid w:val="0022630E"/>
    <w:rsid w:val="00285E60"/>
    <w:rsid w:val="002A7D4C"/>
    <w:rsid w:val="002D1B36"/>
    <w:rsid w:val="002E3747"/>
    <w:rsid w:val="00350BEF"/>
    <w:rsid w:val="00361DF2"/>
    <w:rsid w:val="003A7F3F"/>
    <w:rsid w:val="003F75A6"/>
    <w:rsid w:val="004046C5"/>
    <w:rsid w:val="005060CD"/>
    <w:rsid w:val="00512D84"/>
    <w:rsid w:val="005E7CAD"/>
    <w:rsid w:val="006865DE"/>
    <w:rsid w:val="006E7CC5"/>
    <w:rsid w:val="00733F92"/>
    <w:rsid w:val="007C646A"/>
    <w:rsid w:val="007F2079"/>
    <w:rsid w:val="008620FD"/>
    <w:rsid w:val="008C5940"/>
    <w:rsid w:val="00963BC2"/>
    <w:rsid w:val="00AB4C1F"/>
    <w:rsid w:val="00AE40AD"/>
    <w:rsid w:val="00B2167C"/>
    <w:rsid w:val="00B27FF2"/>
    <w:rsid w:val="00BC5BA9"/>
    <w:rsid w:val="00BE32D2"/>
    <w:rsid w:val="00C05C4B"/>
    <w:rsid w:val="00C458CC"/>
    <w:rsid w:val="00C51D43"/>
    <w:rsid w:val="00CB1EA5"/>
    <w:rsid w:val="00D40E69"/>
    <w:rsid w:val="00D47944"/>
    <w:rsid w:val="00DB0EC5"/>
    <w:rsid w:val="00E00C63"/>
    <w:rsid w:val="00E31266"/>
    <w:rsid w:val="00E45D3E"/>
    <w:rsid w:val="00E510E9"/>
    <w:rsid w:val="00E53B3A"/>
    <w:rsid w:val="00E910BD"/>
    <w:rsid w:val="00EB7995"/>
    <w:rsid w:val="00F06E30"/>
    <w:rsid w:val="00F55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0AC0"/>
  <w15:docId w15:val="{C310A3DA-4BCE-4E47-8DB3-2BC806C1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55F52"/>
    <w:pPr>
      <w:keepNext/>
      <w:keepLines/>
      <w:numPr>
        <w:numId w:val="5"/>
      </w:numPr>
      <w:spacing w:before="220" w:after="220" w:line="240" w:lineRule="auto"/>
      <w:outlineLvl w:val="0"/>
    </w:pPr>
    <w:rPr>
      <w:rFonts w:ascii="Arial" w:eastAsiaTheme="majorEastAsia" w:hAnsi="Arial" w:cstheme="majorBidi"/>
      <w:b/>
      <w:bCs/>
      <w:sz w:val="28"/>
      <w:szCs w:val="28"/>
    </w:rPr>
  </w:style>
  <w:style w:type="paragraph" w:styleId="Heading2">
    <w:name w:val="heading 2"/>
    <w:basedOn w:val="Heading1"/>
    <w:next w:val="Normal"/>
    <w:link w:val="Heading2Char"/>
    <w:uiPriority w:val="9"/>
    <w:unhideWhenUsed/>
    <w:qFormat/>
    <w:rsid w:val="00155F52"/>
    <w:pPr>
      <w:numPr>
        <w:ilvl w:val="1"/>
      </w:numPr>
      <w:outlineLvl w:val="1"/>
    </w:pPr>
    <w:rPr>
      <w:bCs w:val="0"/>
      <w:sz w:val="26"/>
      <w:szCs w:val="26"/>
    </w:rPr>
  </w:style>
  <w:style w:type="paragraph" w:styleId="Heading3">
    <w:name w:val="heading 3"/>
    <w:basedOn w:val="Heading1"/>
    <w:next w:val="Normal"/>
    <w:link w:val="Heading3Char"/>
    <w:uiPriority w:val="9"/>
    <w:unhideWhenUsed/>
    <w:qFormat/>
    <w:rsid w:val="00155F52"/>
    <w:pPr>
      <w:numPr>
        <w:ilvl w:val="2"/>
      </w:numPr>
      <w:spacing w:line="250" w:lineRule="exact"/>
      <w:outlineLvl w:val="2"/>
    </w:pPr>
    <w:rPr>
      <w:bCs w:val="0"/>
      <w:sz w:val="24"/>
    </w:rPr>
  </w:style>
  <w:style w:type="paragraph" w:styleId="Heading4">
    <w:name w:val="heading 4"/>
    <w:basedOn w:val="Heading3"/>
    <w:next w:val="Normal"/>
    <w:link w:val="Heading4Char"/>
    <w:uiPriority w:val="9"/>
    <w:unhideWhenUsed/>
    <w:qFormat/>
    <w:rsid w:val="00155F52"/>
    <w:pPr>
      <w:numPr>
        <w:ilvl w:val="3"/>
      </w:numPr>
      <w:outlineLvl w:val="3"/>
    </w:pPr>
    <w:rPr>
      <w:bCs/>
      <w:iCs/>
    </w:rPr>
  </w:style>
  <w:style w:type="paragraph" w:styleId="Heading5">
    <w:name w:val="heading 5"/>
    <w:basedOn w:val="Heading4"/>
    <w:next w:val="Normal"/>
    <w:link w:val="Heading5Char"/>
    <w:uiPriority w:val="9"/>
    <w:unhideWhenUsed/>
    <w:qFormat/>
    <w:rsid w:val="00155F52"/>
    <w:pPr>
      <w:numPr>
        <w:ilvl w:val="4"/>
      </w:numPr>
      <w:outlineLvl w:val="4"/>
    </w:pPr>
  </w:style>
  <w:style w:type="paragraph" w:styleId="Heading6">
    <w:name w:val="heading 6"/>
    <w:basedOn w:val="Heading5"/>
    <w:next w:val="Normal"/>
    <w:link w:val="Heading6Char"/>
    <w:uiPriority w:val="9"/>
    <w:unhideWhenUsed/>
    <w:qFormat/>
    <w:rsid w:val="00155F52"/>
    <w:pPr>
      <w:numPr>
        <w:ilvl w:val="5"/>
      </w:numPr>
      <w:outlineLvl w:val="5"/>
    </w:pPr>
    <w:rPr>
      <w:iCs w:val="0"/>
    </w:rPr>
  </w:style>
  <w:style w:type="paragraph" w:styleId="Heading7">
    <w:name w:val="heading 7"/>
    <w:basedOn w:val="Heading6"/>
    <w:next w:val="Normal"/>
    <w:link w:val="Heading7Char"/>
    <w:uiPriority w:val="9"/>
    <w:unhideWhenUsed/>
    <w:qFormat/>
    <w:rsid w:val="00155F52"/>
    <w:pPr>
      <w:numPr>
        <w:ilvl w:val="6"/>
      </w:numPr>
      <w:outlineLvl w:val="6"/>
    </w:pPr>
    <w:rPr>
      <w:iCs/>
    </w:rPr>
  </w:style>
  <w:style w:type="paragraph" w:styleId="Heading8">
    <w:name w:val="heading 8"/>
    <w:basedOn w:val="Heading7"/>
    <w:next w:val="Normal"/>
    <w:link w:val="Heading8Char"/>
    <w:uiPriority w:val="9"/>
    <w:unhideWhenUsed/>
    <w:qFormat/>
    <w:rsid w:val="00155F52"/>
    <w:pPr>
      <w:numPr>
        <w:ilvl w:val="7"/>
      </w:numPr>
      <w:outlineLvl w:val="7"/>
    </w:pPr>
    <w:rPr>
      <w:szCs w:val="20"/>
    </w:rPr>
  </w:style>
  <w:style w:type="paragraph" w:styleId="Heading9">
    <w:name w:val="heading 9"/>
    <w:basedOn w:val="Heading8"/>
    <w:next w:val="Normal"/>
    <w:link w:val="Heading9Char"/>
    <w:uiPriority w:val="9"/>
    <w:unhideWhenUsed/>
    <w:qFormat/>
    <w:rsid w:val="00155F52"/>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0BD"/>
    <w:pPr>
      <w:ind w:left="720"/>
      <w:contextualSpacing/>
    </w:pPr>
  </w:style>
  <w:style w:type="character" w:customStyle="1" w:styleId="Heading1Char">
    <w:name w:val="Heading 1 Char"/>
    <w:basedOn w:val="DefaultParagraphFont"/>
    <w:link w:val="Heading1"/>
    <w:uiPriority w:val="9"/>
    <w:rsid w:val="00155F52"/>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55F52"/>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155F52"/>
    <w:rPr>
      <w:rFonts w:ascii="Arial" w:eastAsiaTheme="majorEastAsia" w:hAnsi="Arial" w:cstheme="majorBidi"/>
      <w:b/>
      <w:sz w:val="24"/>
      <w:szCs w:val="28"/>
    </w:rPr>
  </w:style>
  <w:style w:type="character" w:customStyle="1" w:styleId="Heading4Char">
    <w:name w:val="Heading 4 Char"/>
    <w:basedOn w:val="DefaultParagraphFont"/>
    <w:link w:val="Heading4"/>
    <w:uiPriority w:val="9"/>
    <w:rsid w:val="00155F52"/>
    <w:rPr>
      <w:rFonts w:ascii="Arial" w:eastAsiaTheme="majorEastAsia" w:hAnsi="Arial" w:cstheme="majorBidi"/>
      <w:b/>
      <w:bCs/>
      <w:iCs/>
      <w:sz w:val="24"/>
      <w:szCs w:val="28"/>
    </w:rPr>
  </w:style>
  <w:style w:type="character" w:customStyle="1" w:styleId="Heading5Char">
    <w:name w:val="Heading 5 Char"/>
    <w:basedOn w:val="DefaultParagraphFont"/>
    <w:link w:val="Heading5"/>
    <w:uiPriority w:val="9"/>
    <w:rsid w:val="00155F52"/>
    <w:rPr>
      <w:rFonts w:ascii="Arial" w:eastAsiaTheme="majorEastAsia" w:hAnsi="Arial" w:cstheme="majorBidi"/>
      <w:b/>
      <w:bCs/>
      <w:iCs/>
      <w:sz w:val="24"/>
      <w:szCs w:val="28"/>
    </w:rPr>
  </w:style>
  <w:style w:type="character" w:customStyle="1" w:styleId="Heading6Char">
    <w:name w:val="Heading 6 Char"/>
    <w:basedOn w:val="DefaultParagraphFont"/>
    <w:link w:val="Heading6"/>
    <w:uiPriority w:val="9"/>
    <w:rsid w:val="00155F52"/>
    <w:rPr>
      <w:rFonts w:ascii="Arial" w:eastAsiaTheme="majorEastAsia" w:hAnsi="Arial" w:cstheme="majorBidi"/>
      <w:b/>
      <w:bCs/>
      <w:sz w:val="24"/>
      <w:szCs w:val="28"/>
    </w:rPr>
  </w:style>
  <w:style w:type="character" w:customStyle="1" w:styleId="Heading7Char">
    <w:name w:val="Heading 7 Char"/>
    <w:basedOn w:val="DefaultParagraphFont"/>
    <w:link w:val="Heading7"/>
    <w:uiPriority w:val="9"/>
    <w:rsid w:val="00155F52"/>
    <w:rPr>
      <w:rFonts w:ascii="Arial" w:eastAsiaTheme="majorEastAsia" w:hAnsi="Arial" w:cstheme="majorBidi"/>
      <w:b/>
      <w:bCs/>
      <w:iCs/>
      <w:sz w:val="24"/>
      <w:szCs w:val="28"/>
    </w:rPr>
  </w:style>
  <w:style w:type="character" w:customStyle="1" w:styleId="Heading8Char">
    <w:name w:val="Heading 8 Char"/>
    <w:basedOn w:val="DefaultParagraphFont"/>
    <w:link w:val="Heading8"/>
    <w:uiPriority w:val="9"/>
    <w:rsid w:val="00155F52"/>
    <w:rPr>
      <w:rFonts w:ascii="Arial" w:eastAsiaTheme="majorEastAsia" w:hAnsi="Arial" w:cstheme="majorBidi"/>
      <w:b/>
      <w:bCs/>
      <w:iCs/>
      <w:sz w:val="24"/>
      <w:szCs w:val="20"/>
    </w:rPr>
  </w:style>
  <w:style w:type="character" w:customStyle="1" w:styleId="Heading9Char">
    <w:name w:val="Heading 9 Char"/>
    <w:basedOn w:val="DefaultParagraphFont"/>
    <w:link w:val="Heading9"/>
    <w:uiPriority w:val="9"/>
    <w:rsid w:val="00155F52"/>
    <w:rPr>
      <w:rFonts w:ascii="Arial" w:eastAsiaTheme="majorEastAsia" w:hAnsi="Arial" w:cstheme="majorBidi"/>
      <w:b/>
      <w:bCs/>
      <w:sz w:val="24"/>
      <w:szCs w:val="20"/>
    </w:rPr>
  </w:style>
  <w:style w:type="numbering" w:customStyle="1" w:styleId="WYFRSHeadingList">
    <w:name w:val="WYFRS Heading List"/>
    <w:uiPriority w:val="99"/>
    <w:rsid w:val="00155F52"/>
    <w:pPr>
      <w:numPr>
        <w:numId w:val="5"/>
      </w:numPr>
    </w:pPr>
  </w:style>
  <w:style w:type="numbering" w:customStyle="1" w:styleId="NoList1">
    <w:name w:val="No List1"/>
    <w:next w:val="NoList"/>
    <w:uiPriority w:val="99"/>
    <w:semiHidden/>
    <w:unhideWhenUsed/>
    <w:rsid w:val="00155F52"/>
  </w:style>
  <w:style w:type="paragraph" w:styleId="BalloonText">
    <w:name w:val="Balloon Text"/>
    <w:basedOn w:val="Normal"/>
    <w:link w:val="BalloonTextChar"/>
    <w:uiPriority w:val="99"/>
    <w:semiHidden/>
    <w:unhideWhenUsed/>
    <w:rsid w:val="00155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52"/>
    <w:rPr>
      <w:rFonts w:ascii="Tahoma" w:hAnsi="Tahoma" w:cs="Tahoma"/>
      <w:sz w:val="16"/>
      <w:szCs w:val="16"/>
    </w:rPr>
  </w:style>
  <w:style w:type="paragraph" w:styleId="Header">
    <w:name w:val="header"/>
    <w:basedOn w:val="Normal"/>
    <w:link w:val="HeaderChar"/>
    <w:uiPriority w:val="99"/>
    <w:unhideWhenUsed/>
    <w:rsid w:val="00155F52"/>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uiPriority w:val="99"/>
    <w:rsid w:val="00155F52"/>
    <w:rPr>
      <w:rFonts w:ascii="Arial" w:hAnsi="Arial"/>
    </w:rPr>
  </w:style>
  <w:style w:type="paragraph" w:styleId="Footer">
    <w:name w:val="footer"/>
    <w:basedOn w:val="Normal"/>
    <w:link w:val="FooterChar"/>
    <w:uiPriority w:val="99"/>
    <w:unhideWhenUsed/>
    <w:rsid w:val="00155F52"/>
    <w:pPr>
      <w:tabs>
        <w:tab w:val="center" w:pos="4513"/>
        <w:tab w:val="right" w:pos="10206"/>
      </w:tabs>
      <w:spacing w:after="0" w:line="240" w:lineRule="auto"/>
    </w:pPr>
    <w:rPr>
      <w:rFonts w:ascii="Arial" w:hAnsi="Arial"/>
      <w:sz w:val="18"/>
    </w:rPr>
  </w:style>
  <w:style w:type="character" w:customStyle="1" w:styleId="FooterChar">
    <w:name w:val="Footer Char"/>
    <w:basedOn w:val="DefaultParagraphFont"/>
    <w:link w:val="Footer"/>
    <w:uiPriority w:val="99"/>
    <w:rsid w:val="00155F52"/>
    <w:rPr>
      <w:rFonts w:ascii="Arial" w:hAnsi="Arial"/>
      <w:sz w:val="18"/>
    </w:rPr>
  </w:style>
  <w:style w:type="character" w:styleId="PlaceholderText">
    <w:name w:val="Placeholder Text"/>
    <w:basedOn w:val="DefaultParagraphFont"/>
    <w:uiPriority w:val="99"/>
    <w:semiHidden/>
    <w:rsid w:val="00155F52"/>
    <w:rPr>
      <w:color w:val="808080"/>
    </w:rPr>
  </w:style>
  <w:style w:type="paragraph" w:customStyle="1" w:styleId="WYFRSLocation">
    <w:name w:val="WYFRS Location"/>
    <w:basedOn w:val="Normal"/>
    <w:link w:val="WYFRSLocationChar"/>
    <w:qFormat/>
    <w:rsid w:val="00155F52"/>
    <w:pPr>
      <w:spacing w:after="220" w:line="240" w:lineRule="auto"/>
    </w:pPr>
    <w:rPr>
      <w:rFonts w:ascii="Century Gothic" w:hAnsi="Century Gothic"/>
      <w:color w:val="4D4D4D"/>
      <w:spacing w:val="-4"/>
      <w:kern w:val="14"/>
      <w:sz w:val="16"/>
    </w:rPr>
  </w:style>
  <w:style w:type="paragraph" w:customStyle="1" w:styleId="WYFRSLetterLocation">
    <w:name w:val="WYFRS Letter Location"/>
    <w:basedOn w:val="WYFRSLocation"/>
    <w:link w:val="WYFRSLetterLocationChar"/>
    <w:rsid w:val="00155F52"/>
  </w:style>
  <w:style w:type="table" w:styleId="TableGrid">
    <w:name w:val="Table Grid"/>
    <w:basedOn w:val="TableNormal"/>
    <w:uiPriority w:val="59"/>
    <w:rsid w:val="00155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FRSLocationChar">
    <w:name w:val="WYFRS Location Char"/>
    <w:basedOn w:val="DefaultParagraphFont"/>
    <w:link w:val="WYFRSLocation"/>
    <w:rsid w:val="00155F52"/>
    <w:rPr>
      <w:rFonts w:ascii="Century Gothic" w:hAnsi="Century Gothic"/>
      <w:color w:val="4D4D4D"/>
      <w:spacing w:val="-4"/>
      <w:kern w:val="14"/>
      <w:sz w:val="16"/>
    </w:rPr>
  </w:style>
  <w:style w:type="character" w:customStyle="1" w:styleId="WYFRSLetterLocationChar">
    <w:name w:val="WYFRS Letter Location Char"/>
    <w:basedOn w:val="WYFRSLocationChar"/>
    <w:link w:val="WYFRSLetterLocation"/>
    <w:rsid w:val="00155F52"/>
    <w:rPr>
      <w:rFonts w:ascii="Century Gothic" w:hAnsi="Century Gothic"/>
      <w:color w:val="4D4D4D"/>
      <w:spacing w:val="-4"/>
      <w:kern w:val="14"/>
      <w:sz w:val="16"/>
    </w:rPr>
  </w:style>
  <w:style w:type="paragraph" w:customStyle="1" w:styleId="WYFRSLetterHeaders">
    <w:name w:val="WYFRS LetterHeaders"/>
    <w:basedOn w:val="Normal"/>
    <w:next w:val="Normal"/>
    <w:link w:val="WYFRSLetterHeadersChar"/>
    <w:qFormat/>
    <w:rsid w:val="00155F52"/>
    <w:pPr>
      <w:spacing w:after="220" w:line="240" w:lineRule="auto"/>
    </w:pPr>
    <w:rPr>
      <w:rFonts w:ascii="Arial" w:hAnsi="Arial"/>
      <w:color w:val="4D4D4D"/>
    </w:rPr>
  </w:style>
  <w:style w:type="paragraph" w:customStyle="1" w:styleId="WYFRSSenderName">
    <w:name w:val="WYFRS SenderName"/>
    <w:basedOn w:val="Normal"/>
    <w:link w:val="WYFRSSenderNameChar"/>
    <w:qFormat/>
    <w:rsid w:val="00155F52"/>
    <w:pPr>
      <w:framePr w:hSpace="181" w:vSpace="567" w:wrap="around" w:hAnchor="text" w:y="13042"/>
      <w:spacing w:after="100" w:line="240" w:lineRule="auto"/>
      <w:suppressOverlap/>
    </w:pPr>
    <w:rPr>
      <w:rFonts w:ascii="Century Gothic" w:hAnsi="Century Gothic"/>
      <w:b/>
      <w:color w:val="4D4D4D"/>
      <w:sz w:val="28"/>
    </w:rPr>
  </w:style>
  <w:style w:type="character" w:customStyle="1" w:styleId="WYFRSLetterHeadersChar">
    <w:name w:val="WYFRS LetterHeaders Char"/>
    <w:basedOn w:val="DefaultParagraphFont"/>
    <w:link w:val="WYFRSLetterHeaders"/>
    <w:rsid w:val="00155F52"/>
    <w:rPr>
      <w:rFonts w:ascii="Arial" w:hAnsi="Arial"/>
      <w:color w:val="4D4D4D"/>
    </w:rPr>
  </w:style>
  <w:style w:type="paragraph" w:customStyle="1" w:styleId="WYFRSSenderDetails">
    <w:name w:val="WYFRS SenderDetails"/>
    <w:basedOn w:val="Normal"/>
    <w:link w:val="WYFRSSenderDetailsChar"/>
    <w:qFormat/>
    <w:rsid w:val="00155F52"/>
    <w:pPr>
      <w:framePr w:hSpace="181" w:vSpace="567" w:wrap="around" w:hAnchor="text" w:y="13042"/>
      <w:spacing w:after="0" w:line="240" w:lineRule="auto"/>
      <w:suppressOverlap/>
    </w:pPr>
    <w:rPr>
      <w:rFonts w:ascii="Century Gothic" w:hAnsi="Century Gothic"/>
      <w:b/>
      <w:color w:val="4D4D4D"/>
      <w:sz w:val="16"/>
    </w:rPr>
  </w:style>
  <w:style w:type="character" w:styleId="Hyperlink">
    <w:name w:val="Hyperlink"/>
    <w:basedOn w:val="DefaultParagraphFont"/>
    <w:uiPriority w:val="99"/>
    <w:unhideWhenUsed/>
    <w:rsid w:val="00155F52"/>
    <w:rPr>
      <w:color w:val="0000FF" w:themeColor="hyperlink"/>
      <w:u w:val="single"/>
    </w:rPr>
  </w:style>
  <w:style w:type="paragraph" w:customStyle="1" w:styleId="WYFRSSenderDetailsLabel">
    <w:name w:val="WYFRS SenderDetails Label"/>
    <w:basedOn w:val="WYFRSSenderDetails"/>
    <w:link w:val="WYFRSSenderDetailsLabelChar"/>
    <w:rsid w:val="00155F52"/>
    <w:pPr>
      <w:framePr w:hSpace="0" w:vSpace="0" w:wrap="auto" w:yAlign="inline"/>
      <w:spacing w:after="220" w:line="250" w:lineRule="exact"/>
      <w:suppressOverlap w:val="0"/>
    </w:pPr>
    <w:rPr>
      <w:b w:val="0"/>
    </w:rPr>
  </w:style>
  <w:style w:type="paragraph" w:customStyle="1" w:styleId="WYFRSSenderDetailsLabelText">
    <w:name w:val="WYFRS SenderDetails Label Text"/>
    <w:basedOn w:val="WYFRSSenderDetailsLabel"/>
    <w:next w:val="WYFRSSenderDetailsLabel"/>
    <w:link w:val="WYFRSSenderDetailsLabelTextChar"/>
    <w:rsid w:val="00155F52"/>
    <w:rPr>
      <w:b/>
    </w:rPr>
  </w:style>
  <w:style w:type="character" w:customStyle="1" w:styleId="WYFRSSenderDetailsChar">
    <w:name w:val="WYFRS SenderDetails Char"/>
    <w:basedOn w:val="DefaultParagraphFont"/>
    <w:link w:val="WYFRSSenderDetails"/>
    <w:rsid w:val="00155F52"/>
    <w:rPr>
      <w:rFonts w:ascii="Century Gothic" w:hAnsi="Century Gothic"/>
      <w:b/>
      <w:color w:val="4D4D4D"/>
      <w:sz w:val="16"/>
    </w:rPr>
  </w:style>
  <w:style w:type="character" w:customStyle="1" w:styleId="WYFRSSenderDetailsLabelChar">
    <w:name w:val="WYFRS SenderDetails Label Char"/>
    <w:basedOn w:val="WYFRSSenderDetailsChar"/>
    <w:link w:val="WYFRSSenderDetailsLabel"/>
    <w:rsid w:val="00155F52"/>
    <w:rPr>
      <w:rFonts w:ascii="Century Gothic" w:hAnsi="Century Gothic"/>
      <w:b w:val="0"/>
      <w:color w:val="4D4D4D"/>
      <w:sz w:val="16"/>
    </w:rPr>
  </w:style>
  <w:style w:type="paragraph" w:customStyle="1" w:styleId="WYFRSSenderNameText">
    <w:name w:val="WYFRS SenderName Text"/>
    <w:basedOn w:val="WYFRSSenderName"/>
    <w:link w:val="WYFRSSenderNameTextChar"/>
    <w:rsid w:val="00155F52"/>
    <w:pPr>
      <w:framePr w:hSpace="0" w:vSpace="0" w:wrap="auto" w:yAlign="inline"/>
      <w:spacing w:after="40"/>
      <w:suppressOverlap w:val="0"/>
    </w:pPr>
  </w:style>
  <w:style w:type="character" w:customStyle="1" w:styleId="WYFRSSenderDetailsLabelTextChar">
    <w:name w:val="WYFRS SenderDetails Label Text Char"/>
    <w:basedOn w:val="WYFRSSenderDetailsLabelChar"/>
    <w:link w:val="WYFRSSenderDetailsLabelText"/>
    <w:rsid w:val="00155F52"/>
    <w:rPr>
      <w:rFonts w:ascii="Century Gothic" w:hAnsi="Century Gothic"/>
      <w:b/>
      <w:color w:val="4D4D4D"/>
      <w:sz w:val="16"/>
    </w:rPr>
  </w:style>
  <w:style w:type="character" w:customStyle="1" w:styleId="WYFRSSenderNameChar">
    <w:name w:val="WYFRS SenderName Char"/>
    <w:basedOn w:val="DefaultParagraphFont"/>
    <w:link w:val="WYFRSSenderName"/>
    <w:rsid w:val="00155F52"/>
    <w:rPr>
      <w:rFonts w:ascii="Century Gothic" w:hAnsi="Century Gothic"/>
      <w:b/>
      <w:color w:val="4D4D4D"/>
      <w:sz w:val="28"/>
    </w:rPr>
  </w:style>
  <w:style w:type="character" w:customStyle="1" w:styleId="WYFRSSenderNameTextChar">
    <w:name w:val="WYFRS SenderName Text Char"/>
    <w:basedOn w:val="WYFRSSenderNameChar"/>
    <w:link w:val="WYFRSSenderNameText"/>
    <w:rsid w:val="00155F52"/>
    <w:rPr>
      <w:rFonts w:ascii="Century Gothic" w:hAnsi="Century Gothic"/>
      <w:b/>
      <w:color w:val="4D4D4D"/>
      <w:sz w:val="28"/>
    </w:rPr>
  </w:style>
  <w:style w:type="paragraph" w:customStyle="1" w:styleId="WYFRSMemoHeader">
    <w:name w:val="WYFRS Memo Header"/>
    <w:basedOn w:val="Normal"/>
    <w:link w:val="WYFRSMemoHeaderChar"/>
    <w:rsid w:val="00155F52"/>
    <w:pPr>
      <w:spacing w:after="0" w:line="240" w:lineRule="auto"/>
    </w:pPr>
    <w:rPr>
      <w:rFonts w:ascii="Century Gothic" w:hAnsi="Century Gothic"/>
      <w:b/>
      <w:color w:val="4D4D4D"/>
      <w:sz w:val="44"/>
    </w:rPr>
  </w:style>
  <w:style w:type="character" w:customStyle="1" w:styleId="WYFRSMemoHeaderChar">
    <w:name w:val="WYFRS Memo Header Char"/>
    <w:basedOn w:val="DefaultParagraphFont"/>
    <w:link w:val="WYFRSMemoHeader"/>
    <w:rsid w:val="00155F52"/>
    <w:rPr>
      <w:rFonts w:ascii="Century Gothic" w:hAnsi="Century Gothic"/>
      <w:b/>
      <w:color w:val="4D4D4D"/>
      <w:sz w:val="44"/>
    </w:rPr>
  </w:style>
  <w:style w:type="paragraph" w:customStyle="1" w:styleId="WYFRSNewsHeader">
    <w:name w:val="WYFRS News Header"/>
    <w:basedOn w:val="WYFRSMemoHeader"/>
    <w:next w:val="WYFRSMemoHeader"/>
    <w:link w:val="WYFRSNewsHeaderChar"/>
    <w:rsid w:val="00155F52"/>
    <w:pPr>
      <w:spacing w:after="220"/>
    </w:pPr>
    <w:rPr>
      <w:rFonts w:ascii="Arial" w:hAnsi="Arial"/>
      <w:b w:val="0"/>
    </w:rPr>
  </w:style>
  <w:style w:type="character" w:customStyle="1" w:styleId="WYFRSNewsHeaderChar">
    <w:name w:val="WYFRS News Header Char"/>
    <w:basedOn w:val="WYFRSMemoHeaderChar"/>
    <w:link w:val="WYFRSNewsHeader"/>
    <w:rsid w:val="00155F52"/>
    <w:rPr>
      <w:rFonts w:ascii="Arial" w:hAnsi="Arial"/>
      <w:b w:val="0"/>
      <w:color w:val="4D4D4D"/>
      <w:sz w:val="44"/>
    </w:rPr>
  </w:style>
  <w:style w:type="paragraph" w:customStyle="1" w:styleId="WYFRSCommitteeName">
    <w:name w:val="WYFRS Committee Name"/>
    <w:basedOn w:val="WYFRSMemoHeader"/>
    <w:link w:val="WYFRSCommitteeNameChar"/>
    <w:rsid w:val="00155F52"/>
    <w:rPr>
      <w:sz w:val="32"/>
    </w:rPr>
  </w:style>
  <w:style w:type="character" w:customStyle="1" w:styleId="WYFRSCommitteeNameChar">
    <w:name w:val="WYFRS Committee Name Char"/>
    <w:basedOn w:val="WYFRSMemoHeaderChar"/>
    <w:link w:val="WYFRSCommitteeName"/>
    <w:rsid w:val="00155F52"/>
    <w:rPr>
      <w:rFonts w:ascii="Century Gothic" w:hAnsi="Century Gothic"/>
      <w:b/>
      <w:color w:val="4D4D4D"/>
      <w:sz w:val="32"/>
    </w:rPr>
  </w:style>
  <w:style w:type="paragraph" w:styleId="Title">
    <w:name w:val="Title"/>
    <w:basedOn w:val="Normal"/>
    <w:next w:val="Normal"/>
    <w:link w:val="TitleChar"/>
    <w:uiPriority w:val="10"/>
    <w:qFormat/>
    <w:rsid w:val="00155F52"/>
    <w:pPr>
      <w:spacing w:before="220" w:after="220" w:line="240" w:lineRule="auto"/>
      <w:contextualSpacing/>
    </w:pPr>
    <w:rPr>
      <w:rFonts w:ascii="Century Gothic" w:eastAsiaTheme="majorEastAsia" w:hAnsi="Century Gothic" w:cstheme="majorBidi"/>
      <w:color w:val="4D4D4D"/>
      <w:spacing w:val="5"/>
      <w:kern w:val="28"/>
      <w:sz w:val="44"/>
      <w:szCs w:val="52"/>
    </w:rPr>
  </w:style>
  <w:style w:type="character" w:customStyle="1" w:styleId="TitleChar">
    <w:name w:val="Title Char"/>
    <w:basedOn w:val="DefaultParagraphFont"/>
    <w:link w:val="Title"/>
    <w:uiPriority w:val="10"/>
    <w:rsid w:val="00155F52"/>
    <w:rPr>
      <w:rFonts w:ascii="Century Gothic" w:eastAsiaTheme="majorEastAsia" w:hAnsi="Century Gothic" w:cstheme="majorBidi"/>
      <w:color w:val="4D4D4D"/>
      <w:spacing w:val="5"/>
      <w:kern w:val="28"/>
      <w:sz w:val="44"/>
      <w:szCs w:val="52"/>
    </w:rPr>
  </w:style>
  <w:style w:type="paragraph" w:customStyle="1" w:styleId="WYFRSHeading">
    <w:name w:val="WYFRS Heading"/>
    <w:basedOn w:val="Normal"/>
    <w:next w:val="Normal"/>
    <w:qFormat/>
    <w:rsid w:val="00155F52"/>
    <w:pPr>
      <w:spacing w:before="220" w:after="220" w:line="240" w:lineRule="auto"/>
    </w:pPr>
    <w:rPr>
      <w:rFonts w:ascii="Arial" w:hAnsi="Arial"/>
      <w:b/>
      <w:sz w:val="28"/>
    </w:rPr>
  </w:style>
  <w:style w:type="paragraph" w:styleId="TOCHeading">
    <w:name w:val="TOC Heading"/>
    <w:basedOn w:val="Heading1"/>
    <w:next w:val="Normal"/>
    <w:uiPriority w:val="39"/>
    <w:semiHidden/>
    <w:unhideWhenUsed/>
    <w:qFormat/>
    <w:rsid w:val="00155F52"/>
    <w:pPr>
      <w:numPr>
        <w:numId w:val="0"/>
      </w:numPr>
      <w:spacing w:before="480" w:after="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155F52"/>
    <w:pPr>
      <w:tabs>
        <w:tab w:val="left" w:pos="1134"/>
        <w:tab w:val="right" w:leader="dot" w:pos="10206"/>
      </w:tabs>
      <w:spacing w:after="100" w:line="240" w:lineRule="auto"/>
      <w:ind w:left="1134" w:hanging="1134"/>
    </w:pPr>
    <w:rPr>
      <w:rFonts w:ascii="Arial" w:hAnsi="Arial"/>
      <w:b/>
    </w:rPr>
  </w:style>
  <w:style w:type="paragraph" w:styleId="TOC2">
    <w:name w:val="toc 2"/>
    <w:basedOn w:val="Normal"/>
    <w:next w:val="Normal"/>
    <w:autoRedefine/>
    <w:uiPriority w:val="39"/>
    <w:unhideWhenUsed/>
    <w:rsid w:val="00155F52"/>
    <w:pPr>
      <w:tabs>
        <w:tab w:val="left" w:pos="1134"/>
        <w:tab w:val="right" w:leader="dot" w:pos="10206"/>
      </w:tabs>
      <w:spacing w:after="100" w:line="240" w:lineRule="auto"/>
      <w:ind w:left="1134" w:hanging="1134"/>
    </w:pPr>
    <w:rPr>
      <w:rFonts w:ascii="Arial" w:hAnsi="Arial"/>
    </w:rPr>
  </w:style>
  <w:style w:type="paragraph" w:styleId="TOC3">
    <w:name w:val="toc 3"/>
    <w:basedOn w:val="Normal"/>
    <w:next w:val="Normal"/>
    <w:autoRedefine/>
    <w:uiPriority w:val="39"/>
    <w:unhideWhenUsed/>
    <w:rsid w:val="00155F52"/>
    <w:pPr>
      <w:tabs>
        <w:tab w:val="left" w:pos="1134"/>
        <w:tab w:val="right" w:leader="dot" w:pos="10206"/>
      </w:tabs>
      <w:spacing w:after="100" w:line="240" w:lineRule="auto"/>
      <w:ind w:left="1134" w:hanging="1134"/>
    </w:pPr>
    <w:rPr>
      <w:rFonts w:ascii="Arial" w:hAnsi="Arial"/>
    </w:rPr>
  </w:style>
  <w:style w:type="numbering" w:customStyle="1" w:styleId="WYFRSHeadingList1">
    <w:name w:val="WYFRS Heading List1"/>
    <w:uiPriority w:val="99"/>
    <w:rsid w:val="00155F52"/>
    <w:pPr>
      <w:numPr>
        <w:numId w:val="1"/>
      </w:numPr>
    </w:pPr>
  </w:style>
  <w:style w:type="paragraph" w:customStyle="1" w:styleId="WFRSProtectiveMarkings">
    <w:name w:val="WFRS Protective Markings"/>
    <w:basedOn w:val="WYFRSLetterHeaders"/>
    <w:link w:val="WFRSProtectiveMarkingsChar"/>
    <w:rsid w:val="00155F52"/>
    <w:rPr>
      <w:caps/>
    </w:rPr>
  </w:style>
  <w:style w:type="character" w:customStyle="1" w:styleId="WFRSProtectiveMarkingsChar">
    <w:name w:val="WFRS Protective Markings Char"/>
    <w:basedOn w:val="WYFRSLetterHeadersChar"/>
    <w:link w:val="WFRSProtectiveMarkings"/>
    <w:rsid w:val="00155F52"/>
    <w:rPr>
      <w:rFonts w:ascii="Arial" w:hAnsi="Arial"/>
      <w:caps/>
      <w:color w:val="4D4D4D"/>
    </w:rPr>
  </w:style>
  <w:style w:type="paragraph" w:customStyle="1" w:styleId="WYFRSMemoSubject">
    <w:name w:val="WYFRS Memo Subject"/>
    <w:basedOn w:val="WYFRSMemoHeader"/>
    <w:link w:val="WYFRSMemoSubjectChar"/>
    <w:rsid w:val="00155F52"/>
    <w:pPr>
      <w:spacing w:after="220"/>
    </w:pPr>
    <w:rPr>
      <w:b w:val="0"/>
      <w:sz w:val="28"/>
    </w:rPr>
  </w:style>
  <w:style w:type="character" w:customStyle="1" w:styleId="WYFRSMemoSubjectChar">
    <w:name w:val="WYFRS Memo Subject Char"/>
    <w:basedOn w:val="WYFRSMemoHeaderChar"/>
    <w:link w:val="WYFRSMemoSubject"/>
    <w:rsid w:val="00155F52"/>
    <w:rPr>
      <w:rFonts w:ascii="Century Gothic" w:hAnsi="Century Gothic"/>
      <w:b w:val="0"/>
      <w:color w:val="4D4D4D"/>
      <w:sz w:val="28"/>
    </w:rPr>
  </w:style>
  <w:style w:type="paragraph" w:customStyle="1" w:styleId="WYFRSAgendaItem">
    <w:name w:val="WYFRS Agenda Item"/>
    <w:basedOn w:val="Normal"/>
    <w:link w:val="WYFRSAgendaItemChar"/>
    <w:rsid w:val="00155F52"/>
    <w:pPr>
      <w:spacing w:after="0" w:line="1120" w:lineRule="exact"/>
    </w:pPr>
    <w:rPr>
      <w:rFonts w:ascii="Century Gothic" w:hAnsi="Century Gothic"/>
      <w:b/>
      <w:color w:val="4D4D4D"/>
      <w:sz w:val="112"/>
    </w:rPr>
  </w:style>
  <w:style w:type="paragraph" w:customStyle="1" w:styleId="WYFRSReportSummaryHeading">
    <w:name w:val="WYFRS Report Summary Heading"/>
    <w:basedOn w:val="Normal"/>
    <w:link w:val="WYFRSReportSummaryHeadingChar"/>
    <w:qFormat/>
    <w:rsid w:val="00155F52"/>
    <w:pPr>
      <w:spacing w:after="220" w:line="240" w:lineRule="auto"/>
    </w:pPr>
    <w:rPr>
      <w:rFonts w:ascii="Arial" w:hAnsi="Arial"/>
      <w:b/>
      <w:color w:val="4D4D4D"/>
      <w:sz w:val="28"/>
    </w:rPr>
  </w:style>
  <w:style w:type="character" w:customStyle="1" w:styleId="WYFRSAgendaItemChar">
    <w:name w:val="WYFRS Agenda Item Char"/>
    <w:basedOn w:val="DefaultParagraphFont"/>
    <w:link w:val="WYFRSAgendaItem"/>
    <w:rsid w:val="00155F52"/>
    <w:rPr>
      <w:rFonts w:ascii="Century Gothic" w:hAnsi="Century Gothic"/>
      <w:b/>
      <w:color w:val="4D4D4D"/>
      <w:sz w:val="112"/>
    </w:rPr>
  </w:style>
  <w:style w:type="character" w:customStyle="1" w:styleId="WYFRSReportSummaryHeadingChar">
    <w:name w:val="WYFRS Report Summary Heading Char"/>
    <w:basedOn w:val="DefaultParagraphFont"/>
    <w:link w:val="WYFRSReportSummaryHeading"/>
    <w:rsid w:val="00155F52"/>
    <w:rPr>
      <w:rFonts w:ascii="Arial" w:hAnsi="Arial"/>
      <w:b/>
      <w:color w:val="4D4D4D"/>
      <w:sz w:val="28"/>
    </w:rPr>
  </w:style>
  <w:style w:type="character" w:styleId="UnresolvedMention">
    <w:name w:val="Unresolved Mention"/>
    <w:basedOn w:val="DefaultParagraphFont"/>
    <w:uiPriority w:val="99"/>
    <w:semiHidden/>
    <w:unhideWhenUsed/>
    <w:rsid w:val="00155F52"/>
    <w:rPr>
      <w:color w:val="605E5C"/>
      <w:shd w:val="clear" w:color="auto" w:fill="E1DFDD"/>
    </w:rPr>
  </w:style>
  <w:style w:type="paragraph" w:customStyle="1" w:styleId="Default">
    <w:name w:val="Default"/>
    <w:rsid w:val="00155F52"/>
    <w:pPr>
      <w:autoSpaceDE w:val="0"/>
      <w:autoSpaceDN w:val="0"/>
      <w:adjustRightInd w:val="0"/>
      <w:spacing w:after="0" w:line="240" w:lineRule="auto"/>
    </w:pPr>
    <w:rPr>
      <w:rFonts w:ascii="Arial" w:hAnsi="Arial" w:cs="Arial"/>
      <w:color w:val="000000"/>
      <w:sz w:val="24"/>
      <w:szCs w:val="24"/>
    </w:rPr>
  </w:style>
  <w:style w:type="numbering" w:customStyle="1" w:styleId="NoList11">
    <w:name w:val="No List11"/>
    <w:next w:val="NoList"/>
    <w:uiPriority w:val="99"/>
    <w:semiHidden/>
    <w:unhideWhenUsed/>
    <w:rsid w:val="00155F52"/>
  </w:style>
  <w:style w:type="paragraph" w:styleId="BodyText">
    <w:name w:val="Body Text"/>
    <w:basedOn w:val="Normal"/>
    <w:link w:val="BodyTextChar"/>
    <w:uiPriority w:val="1"/>
    <w:qFormat/>
    <w:rsid w:val="00155F52"/>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155F52"/>
    <w:rPr>
      <w:rFonts w:ascii="Arial" w:eastAsia="Arial" w:hAnsi="Arial" w:cs="Arial"/>
      <w:sz w:val="24"/>
      <w:szCs w:val="24"/>
    </w:rPr>
  </w:style>
  <w:style w:type="paragraph" w:customStyle="1" w:styleId="TableParagraph">
    <w:name w:val="Table Paragraph"/>
    <w:basedOn w:val="Normal"/>
    <w:uiPriority w:val="1"/>
    <w:qFormat/>
    <w:rsid w:val="00155F52"/>
    <w:pPr>
      <w:widowControl w:val="0"/>
      <w:autoSpaceDE w:val="0"/>
      <w:autoSpaceDN w:val="0"/>
      <w:spacing w:after="0" w:line="240" w:lineRule="auto"/>
    </w:pPr>
    <w:rPr>
      <w:rFonts w:ascii="Arial" w:eastAsia="Arial" w:hAnsi="Arial" w:cs="Arial"/>
    </w:rPr>
  </w:style>
  <w:style w:type="paragraph" w:styleId="BodyTextIndent2">
    <w:name w:val="Body Text Indent 2"/>
    <w:basedOn w:val="Normal"/>
    <w:link w:val="BodyTextIndent2Char"/>
    <w:uiPriority w:val="99"/>
    <w:semiHidden/>
    <w:unhideWhenUsed/>
    <w:rsid w:val="00155F52"/>
    <w:pPr>
      <w:spacing w:after="120" w:line="480" w:lineRule="auto"/>
      <w:ind w:left="283"/>
    </w:pPr>
    <w:rPr>
      <w:rFonts w:ascii="Arial" w:hAnsi="Arial"/>
    </w:rPr>
  </w:style>
  <w:style w:type="character" w:customStyle="1" w:styleId="BodyTextIndent2Char">
    <w:name w:val="Body Text Indent 2 Char"/>
    <w:basedOn w:val="DefaultParagraphFont"/>
    <w:link w:val="BodyTextIndent2"/>
    <w:uiPriority w:val="99"/>
    <w:semiHidden/>
    <w:rsid w:val="00155F52"/>
    <w:rPr>
      <w:rFonts w:ascii="Arial" w:hAnsi="Arial"/>
    </w:rPr>
  </w:style>
  <w:style w:type="paragraph" w:styleId="BodyText3">
    <w:name w:val="Body Text 3"/>
    <w:basedOn w:val="Normal"/>
    <w:link w:val="BodyText3Char"/>
    <w:uiPriority w:val="99"/>
    <w:semiHidden/>
    <w:unhideWhenUsed/>
    <w:rsid w:val="00155F52"/>
    <w:pPr>
      <w:spacing w:after="120" w:line="240" w:lineRule="auto"/>
    </w:pPr>
    <w:rPr>
      <w:rFonts w:ascii="Arial" w:hAnsi="Arial"/>
      <w:sz w:val="16"/>
      <w:szCs w:val="16"/>
    </w:rPr>
  </w:style>
  <w:style w:type="character" w:customStyle="1" w:styleId="BodyText3Char">
    <w:name w:val="Body Text 3 Char"/>
    <w:basedOn w:val="DefaultParagraphFont"/>
    <w:link w:val="BodyText3"/>
    <w:uiPriority w:val="99"/>
    <w:semiHidden/>
    <w:rsid w:val="00155F52"/>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wyfirehub.westyorksfire.gov.uk/sites/Directors/Director%20Of%20Finance/Treasury%20Management/TM%20Strategy/Liability-Benchmark-Template-2023-24-(updated-with-TM-Code-2021)-England-and-Wa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2000" b="1">
                <a:solidFill>
                  <a:sysClr val="windowText" lastClr="000000"/>
                </a:solidFill>
                <a:latin typeface="Arial" panose="020B0604020202020204" pitchFamily="34" charset="0"/>
                <a:cs typeface="Arial" panose="020B0604020202020204" pitchFamily="34" charset="0"/>
              </a:rPr>
              <a:t>Liability Benchmark</a:t>
            </a:r>
          </a:p>
        </c:rich>
      </c:tx>
      <c:layout>
        <c:manualLayout>
          <c:xMode val="edge"/>
          <c:yMode val="edge"/>
          <c:x val="0.41572737834000256"/>
          <c:y val="2.9277940675825571E-2"/>
        </c:manualLayout>
      </c:layout>
      <c:overlay val="0"/>
      <c:spPr>
        <a:noFill/>
        <a:ln>
          <a:noFill/>
        </a:ln>
        <a:effectLst/>
      </c:spPr>
      <c:txPr>
        <a:bodyPr rot="0" spcFirstLastPara="1" vertOverflow="ellipsis" vert="horz" wrap="square" anchor="ctr" anchorCtr="1"/>
        <a:lstStyle/>
        <a:p>
          <a:pPr>
            <a:defRPr sz="2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3753550785040128"/>
          <c:y val="9.6395968522606817E-2"/>
          <c:w val="0.79056141131641544"/>
          <c:h val="0.67572908556410427"/>
        </c:manualLayout>
      </c:layout>
      <c:barChart>
        <c:barDir val="col"/>
        <c:grouping val="stacked"/>
        <c:varyColors val="0"/>
        <c:ser>
          <c:idx val="0"/>
          <c:order val="0"/>
          <c:tx>
            <c:strRef>
              <c:f>Calculations!$A$5</c:f>
              <c:strCache>
                <c:ptCount val="1"/>
                <c:pt idx="0">
                  <c:v>PWLB Loans</c:v>
                </c:pt>
              </c:strCache>
            </c:strRef>
          </c:tx>
          <c:spPr>
            <a:solidFill>
              <a:srgbClr val="313F7D"/>
            </a:solidFill>
            <a:ln>
              <a:solidFill>
                <a:schemeClr val="bg1"/>
              </a:solidFill>
            </a:ln>
            <a:effectLst/>
          </c:spPr>
          <c:invertIfNegative val="0"/>
          <c:cat>
            <c:strRef>
              <c:f>Calculations!$B$3:$BT$3</c:f>
              <c:strCache>
                <c:ptCount val="71"/>
                <c:pt idx="0">
                  <c:v>2021/22</c:v>
                </c:pt>
                <c:pt idx="1">
                  <c:v>2022/23</c:v>
                </c:pt>
                <c:pt idx="2">
                  <c:v>2023/24</c:v>
                </c:pt>
                <c:pt idx="3">
                  <c:v>2024/25</c:v>
                </c:pt>
                <c:pt idx="4">
                  <c:v>2025/26</c:v>
                </c:pt>
                <c:pt idx="5">
                  <c:v>2026/27</c:v>
                </c:pt>
                <c:pt idx="6">
                  <c:v>2027/28</c:v>
                </c:pt>
                <c:pt idx="7">
                  <c:v>2028/29</c:v>
                </c:pt>
                <c:pt idx="8">
                  <c:v>2029/30</c:v>
                </c:pt>
                <c:pt idx="9">
                  <c:v>2030/31</c:v>
                </c:pt>
                <c:pt idx="10">
                  <c:v>2031/32</c:v>
                </c:pt>
                <c:pt idx="11">
                  <c:v>2032/33</c:v>
                </c:pt>
                <c:pt idx="12">
                  <c:v>2033/34</c:v>
                </c:pt>
                <c:pt idx="13">
                  <c:v>2034/35</c:v>
                </c:pt>
                <c:pt idx="14">
                  <c:v>2035/36</c:v>
                </c:pt>
                <c:pt idx="15">
                  <c:v>2036/37</c:v>
                </c:pt>
                <c:pt idx="16">
                  <c:v>2037/38</c:v>
                </c:pt>
                <c:pt idx="17">
                  <c:v>2038/39</c:v>
                </c:pt>
                <c:pt idx="18">
                  <c:v>2039/40</c:v>
                </c:pt>
                <c:pt idx="19">
                  <c:v>2040/41</c:v>
                </c:pt>
                <c:pt idx="20">
                  <c:v>2041/42</c:v>
                </c:pt>
                <c:pt idx="21">
                  <c:v>2042/43</c:v>
                </c:pt>
                <c:pt idx="22">
                  <c:v>2043/44</c:v>
                </c:pt>
                <c:pt idx="23">
                  <c:v>2044/45</c:v>
                </c:pt>
                <c:pt idx="24">
                  <c:v>2045/46</c:v>
                </c:pt>
                <c:pt idx="25">
                  <c:v>2046/47</c:v>
                </c:pt>
                <c:pt idx="26">
                  <c:v>2047/48</c:v>
                </c:pt>
                <c:pt idx="27">
                  <c:v>2048/49</c:v>
                </c:pt>
                <c:pt idx="28">
                  <c:v>2049/50</c:v>
                </c:pt>
                <c:pt idx="29">
                  <c:v>2050/51</c:v>
                </c:pt>
                <c:pt idx="30">
                  <c:v>2051/52</c:v>
                </c:pt>
                <c:pt idx="31">
                  <c:v>2052/53</c:v>
                </c:pt>
                <c:pt idx="32">
                  <c:v>2053/54</c:v>
                </c:pt>
                <c:pt idx="33">
                  <c:v>2054/55</c:v>
                </c:pt>
                <c:pt idx="34">
                  <c:v>2055/56</c:v>
                </c:pt>
                <c:pt idx="35">
                  <c:v>2056/57</c:v>
                </c:pt>
                <c:pt idx="36">
                  <c:v>2057/58</c:v>
                </c:pt>
                <c:pt idx="37">
                  <c:v>2058/59</c:v>
                </c:pt>
                <c:pt idx="38">
                  <c:v>2059/60</c:v>
                </c:pt>
                <c:pt idx="39">
                  <c:v>2060/61</c:v>
                </c:pt>
                <c:pt idx="40">
                  <c:v>2061/62</c:v>
                </c:pt>
                <c:pt idx="41">
                  <c:v>2062/63</c:v>
                </c:pt>
                <c:pt idx="42">
                  <c:v>2063/64</c:v>
                </c:pt>
                <c:pt idx="43">
                  <c:v>2064/65</c:v>
                </c:pt>
                <c:pt idx="44">
                  <c:v>2065/66</c:v>
                </c:pt>
                <c:pt idx="45">
                  <c:v>2066/67</c:v>
                </c:pt>
                <c:pt idx="46">
                  <c:v>2067/68</c:v>
                </c:pt>
                <c:pt idx="47">
                  <c:v>2068/69</c:v>
                </c:pt>
                <c:pt idx="48">
                  <c:v>2069/70</c:v>
                </c:pt>
                <c:pt idx="49">
                  <c:v>2070/71</c:v>
                </c:pt>
                <c:pt idx="50">
                  <c:v>2071/72</c:v>
                </c:pt>
                <c:pt idx="51">
                  <c:v>2072/73</c:v>
                </c:pt>
                <c:pt idx="52">
                  <c:v>2073/74</c:v>
                </c:pt>
                <c:pt idx="53">
                  <c:v>2074/75</c:v>
                </c:pt>
                <c:pt idx="54">
                  <c:v>2075/76</c:v>
                </c:pt>
                <c:pt idx="55">
                  <c:v>2076/77</c:v>
                </c:pt>
                <c:pt idx="56">
                  <c:v>2077/78</c:v>
                </c:pt>
                <c:pt idx="57">
                  <c:v>2078/79</c:v>
                </c:pt>
                <c:pt idx="58">
                  <c:v>2079/80</c:v>
                </c:pt>
                <c:pt idx="59">
                  <c:v>2080/81</c:v>
                </c:pt>
                <c:pt idx="60">
                  <c:v>2081/82</c:v>
                </c:pt>
                <c:pt idx="61">
                  <c:v>2082/83</c:v>
                </c:pt>
                <c:pt idx="62">
                  <c:v>2083/84</c:v>
                </c:pt>
                <c:pt idx="63">
                  <c:v>2084/85</c:v>
                </c:pt>
                <c:pt idx="64">
                  <c:v>2085/86</c:v>
                </c:pt>
                <c:pt idx="65">
                  <c:v>2086/87</c:v>
                </c:pt>
                <c:pt idx="66">
                  <c:v>2087/88</c:v>
                </c:pt>
                <c:pt idx="67">
                  <c:v>2088/89</c:v>
                </c:pt>
                <c:pt idx="68">
                  <c:v>2089/90</c:v>
                </c:pt>
                <c:pt idx="69">
                  <c:v>2090/91</c:v>
                </c:pt>
                <c:pt idx="70">
                  <c:v>2091/92</c:v>
                </c:pt>
              </c:strCache>
            </c:strRef>
          </c:cat>
          <c:val>
            <c:numRef>
              <c:f>Calculations!$B$5:$BT$5</c:f>
              <c:numCache>
                <c:formatCode>"£"#,##0</c:formatCode>
                <c:ptCount val="71"/>
                <c:pt idx="0">
                  <c:v>43016</c:v>
                </c:pt>
                <c:pt idx="1">
                  <c:v>43016</c:v>
                </c:pt>
                <c:pt idx="2">
                  <c:v>41937</c:v>
                </c:pt>
                <c:pt idx="3">
                  <c:v>39937</c:v>
                </c:pt>
                <c:pt idx="4">
                  <c:v>38937</c:v>
                </c:pt>
                <c:pt idx="5">
                  <c:v>38187</c:v>
                </c:pt>
                <c:pt idx="6">
                  <c:v>37437</c:v>
                </c:pt>
                <c:pt idx="7">
                  <c:v>36437</c:v>
                </c:pt>
                <c:pt idx="8">
                  <c:v>35687</c:v>
                </c:pt>
                <c:pt idx="9">
                  <c:v>34937</c:v>
                </c:pt>
                <c:pt idx="10">
                  <c:v>34437</c:v>
                </c:pt>
                <c:pt idx="11">
                  <c:v>33937</c:v>
                </c:pt>
                <c:pt idx="12">
                  <c:v>33437</c:v>
                </c:pt>
                <c:pt idx="13">
                  <c:v>33437</c:v>
                </c:pt>
                <c:pt idx="14">
                  <c:v>32727</c:v>
                </c:pt>
                <c:pt idx="15">
                  <c:v>31587</c:v>
                </c:pt>
                <c:pt idx="16">
                  <c:v>30737</c:v>
                </c:pt>
                <c:pt idx="17">
                  <c:v>29362</c:v>
                </c:pt>
                <c:pt idx="18">
                  <c:v>28552</c:v>
                </c:pt>
                <c:pt idx="19">
                  <c:v>27742</c:v>
                </c:pt>
                <c:pt idx="20">
                  <c:v>27182</c:v>
                </c:pt>
                <c:pt idx="21">
                  <c:v>26357</c:v>
                </c:pt>
                <c:pt idx="22">
                  <c:v>25145</c:v>
                </c:pt>
                <c:pt idx="23">
                  <c:v>24145</c:v>
                </c:pt>
                <c:pt idx="24">
                  <c:v>23245</c:v>
                </c:pt>
                <c:pt idx="25">
                  <c:v>22175</c:v>
                </c:pt>
                <c:pt idx="26">
                  <c:v>20175</c:v>
                </c:pt>
                <c:pt idx="27">
                  <c:v>18175</c:v>
                </c:pt>
                <c:pt idx="28">
                  <c:v>17175</c:v>
                </c:pt>
                <c:pt idx="29">
                  <c:v>15965</c:v>
                </c:pt>
                <c:pt idx="30">
                  <c:v>14765</c:v>
                </c:pt>
                <c:pt idx="31">
                  <c:v>12850</c:v>
                </c:pt>
                <c:pt idx="32">
                  <c:v>10850</c:v>
                </c:pt>
                <c:pt idx="33">
                  <c:v>8850</c:v>
                </c:pt>
                <c:pt idx="34">
                  <c:v>7000</c:v>
                </c:pt>
                <c:pt idx="35">
                  <c:v>5500</c:v>
                </c:pt>
                <c:pt idx="36">
                  <c:v>4000</c:v>
                </c:pt>
                <c:pt idx="37">
                  <c:v>2000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val>
          <c:extLst>
            <c:ext xmlns:c16="http://schemas.microsoft.com/office/drawing/2014/chart" uri="{C3380CC4-5D6E-409C-BE32-E72D297353CC}">
              <c16:uniqueId val="{00000000-E400-46A8-B17C-066E6F7CDF1C}"/>
            </c:ext>
          </c:extLst>
        </c:ser>
        <c:ser>
          <c:idx val="1"/>
          <c:order val="1"/>
          <c:tx>
            <c:strRef>
              <c:f>Calculations!$A$6</c:f>
              <c:strCache>
                <c:ptCount val="1"/>
                <c:pt idx="0">
                  <c:v>Market Loans (excl LOBO loans)</c:v>
                </c:pt>
              </c:strCache>
            </c:strRef>
          </c:tx>
          <c:spPr>
            <a:solidFill>
              <a:schemeClr val="accent2">
                <a:lumMod val="75000"/>
              </a:schemeClr>
            </a:solidFill>
            <a:ln>
              <a:solidFill>
                <a:schemeClr val="bg1"/>
              </a:solidFill>
            </a:ln>
            <a:effectLst/>
          </c:spPr>
          <c:invertIfNegative val="0"/>
          <c:cat>
            <c:strRef>
              <c:f>Calculations!$B$3:$BT$3</c:f>
              <c:strCache>
                <c:ptCount val="71"/>
                <c:pt idx="0">
                  <c:v>2021/22</c:v>
                </c:pt>
                <c:pt idx="1">
                  <c:v>2022/23</c:v>
                </c:pt>
                <c:pt idx="2">
                  <c:v>2023/24</c:v>
                </c:pt>
                <c:pt idx="3">
                  <c:v>2024/25</c:v>
                </c:pt>
                <c:pt idx="4">
                  <c:v>2025/26</c:v>
                </c:pt>
                <c:pt idx="5">
                  <c:v>2026/27</c:v>
                </c:pt>
                <c:pt idx="6">
                  <c:v>2027/28</c:v>
                </c:pt>
                <c:pt idx="7">
                  <c:v>2028/29</c:v>
                </c:pt>
                <c:pt idx="8">
                  <c:v>2029/30</c:v>
                </c:pt>
                <c:pt idx="9">
                  <c:v>2030/31</c:v>
                </c:pt>
                <c:pt idx="10">
                  <c:v>2031/32</c:v>
                </c:pt>
                <c:pt idx="11">
                  <c:v>2032/33</c:v>
                </c:pt>
                <c:pt idx="12">
                  <c:v>2033/34</c:v>
                </c:pt>
                <c:pt idx="13">
                  <c:v>2034/35</c:v>
                </c:pt>
                <c:pt idx="14">
                  <c:v>2035/36</c:v>
                </c:pt>
                <c:pt idx="15">
                  <c:v>2036/37</c:v>
                </c:pt>
                <c:pt idx="16">
                  <c:v>2037/38</c:v>
                </c:pt>
                <c:pt idx="17">
                  <c:v>2038/39</c:v>
                </c:pt>
                <c:pt idx="18">
                  <c:v>2039/40</c:v>
                </c:pt>
                <c:pt idx="19">
                  <c:v>2040/41</c:v>
                </c:pt>
                <c:pt idx="20">
                  <c:v>2041/42</c:v>
                </c:pt>
                <c:pt idx="21">
                  <c:v>2042/43</c:v>
                </c:pt>
                <c:pt idx="22">
                  <c:v>2043/44</c:v>
                </c:pt>
                <c:pt idx="23">
                  <c:v>2044/45</c:v>
                </c:pt>
                <c:pt idx="24">
                  <c:v>2045/46</c:v>
                </c:pt>
                <c:pt idx="25">
                  <c:v>2046/47</c:v>
                </c:pt>
                <c:pt idx="26">
                  <c:v>2047/48</c:v>
                </c:pt>
                <c:pt idx="27">
                  <c:v>2048/49</c:v>
                </c:pt>
                <c:pt idx="28">
                  <c:v>2049/50</c:v>
                </c:pt>
                <c:pt idx="29">
                  <c:v>2050/51</c:v>
                </c:pt>
                <c:pt idx="30">
                  <c:v>2051/52</c:v>
                </c:pt>
                <c:pt idx="31">
                  <c:v>2052/53</c:v>
                </c:pt>
                <c:pt idx="32">
                  <c:v>2053/54</c:v>
                </c:pt>
                <c:pt idx="33">
                  <c:v>2054/55</c:v>
                </c:pt>
                <c:pt idx="34">
                  <c:v>2055/56</c:v>
                </c:pt>
                <c:pt idx="35">
                  <c:v>2056/57</c:v>
                </c:pt>
                <c:pt idx="36">
                  <c:v>2057/58</c:v>
                </c:pt>
                <c:pt idx="37">
                  <c:v>2058/59</c:v>
                </c:pt>
                <c:pt idx="38">
                  <c:v>2059/60</c:v>
                </c:pt>
                <c:pt idx="39">
                  <c:v>2060/61</c:v>
                </c:pt>
                <c:pt idx="40">
                  <c:v>2061/62</c:v>
                </c:pt>
                <c:pt idx="41">
                  <c:v>2062/63</c:v>
                </c:pt>
                <c:pt idx="42">
                  <c:v>2063/64</c:v>
                </c:pt>
                <c:pt idx="43">
                  <c:v>2064/65</c:v>
                </c:pt>
                <c:pt idx="44">
                  <c:v>2065/66</c:v>
                </c:pt>
                <c:pt idx="45">
                  <c:v>2066/67</c:v>
                </c:pt>
                <c:pt idx="46">
                  <c:v>2067/68</c:v>
                </c:pt>
                <c:pt idx="47">
                  <c:v>2068/69</c:v>
                </c:pt>
                <c:pt idx="48">
                  <c:v>2069/70</c:v>
                </c:pt>
                <c:pt idx="49">
                  <c:v>2070/71</c:v>
                </c:pt>
                <c:pt idx="50">
                  <c:v>2071/72</c:v>
                </c:pt>
                <c:pt idx="51">
                  <c:v>2072/73</c:v>
                </c:pt>
                <c:pt idx="52">
                  <c:v>2073/74</c:v>
                </c:pt>
                <c:pt idx="53">
                  <c:v>2074/75</c:v>
                </c:pt>
                <c:pt idx="54">
                  <c:v>2075/76</c:v>
                </c:pt>
                <c:pt idx="55">
                  <c:v>2076/77</c:v>
                </c:pt>
                <c:pt idx="56">
                  <c:v>2077/78</c:v>
                </c:pt>
                <c:pt idx="57">
                  <c:v>2078/79</c:v>
                </c:pt>
                <c:pt idx="58">
                  <c:v>2079/80</c:v>
                </c:pt>
                <c:pt idx="59">
                  <c:v>2080/81</c:v>
                </c:pt>
                <c:pt idx="60">
                  <c:v>2081/82</c:v>
                </c:pt>
                <c:pt idx="61">
                  <c:v>2082/83</c:v>
                </c:pt>
                <c:pt idx="62">
                  <c:v>2083/84</c:v>
                </c:pt>
                <c:pt idx="63">
                  <c:v>2084/85</c:v>
                </c:pt>
                <c:pt idx="64">
                  <c:v>2085/86</c:v>
                </c:pt>
                <c:pt idx="65">
                  <c:v>2086/87</c:v>
                </c:pt>
                <c:pt idx="66">
                  <c:v>2087/88</c:v>
                </c:pt>
                <c:pt idx="67">
                  <c:v>2088/89</c:v>
                </c:pt>
                <c:pt idx="68">
                  <c:v>2089/90</c:v>
                </c:pt>
                <c:pt idx="69">
                  <c:v>2090/91</c:v>
                </c:pt>
                <c:pt idx="70">
                  <c:v>2091/92</c:v>
                </c:pt>
              </c:strCache>
            </c:strRef>
          </c:cat>
          <c:val>
            <c:numRef>
              <c:f>Calculations!$B$6:$BT$6</c:f>
              <c:numCache>
                <c:formatCode>General</c:formatCode>
                <c:ptCount val="71"/>
              </c:numCache>
            </c:numRef>
          </c:val>
          <c:extLst>
            <c:ext xmlns:c16="http://schemas.microsoft.com/office/drawing/2014/chart" uri="{C3380CC4-5D6E-409C-BE32-E72D297353CC}">
              <c16:uniqueId val="{00000001-E400-46A8-B17C-066E6F7CDF1C}"/>
            </c:ext>
          </c:extLst>
        </c:ser>
        <c:ser>
          <c:idx val="7"/>
          <c:order val="2"/>
          <c:tx>
            <c:strRef>
              <c:f>Calculations!$A$7</c:f>
              <c:strCache>
                <c:ptCount val="1"/>
                <c:pt idx="0">
                  <c:v>LOBO Loans</c:v>
                </c:pt>
              </c:strCache>
            </c:strRef>
          </c:tx>
          <c:spPr>
            <a:solidFill>
              <a:srgbClr val="4E4E50"/>
            </a:solidFill>
            <a:ln>
              <a:solidFill>
                <a:schemeClr val="bg1"/>
              </a:solidFill>
            </a:ln>
            <a:effectLst/>
          </c:spPr>
          <c:invertIfNegative val="0"/>
          <c:cat>
            <c:strRef>
              <c:f>Calculations!$B$3:$BT$3</c:f>
              <c:strCache>
                <c:ptCount val="71"/>
                <c:pt idx="0">
                  <c:v>2021/22</c:v>
                </c:pt>
                <c:pt idx="1">
                  <c:v>2022/23</c:v>
                </c:pt>
                <c:pt idx="2">
                  <c:v>2023/24</c:v>
                </c:pt>
                <c:pt idx="3">
                  <c:v>2024/25</c:v>
                </c:pt>
                <c:pt idx="4">
                  <c:v>2025/26</c:v>
                </c:pt>
                <c:pt idx="5">
                  <c:v>2026/27</c:v>
                </c:pt>
                <c:pt idx="6">
                  <c:v>2027/28</c:v>
                </c:pt>
                <c:pt idx="7">
                  <c:v>2028/29</c:v>
                </c:pt>
                <c:pt idx="8">
                  <c:v>2029/30</c:v>
                </c:pt>
                <c:pt idx="9">
                  <c:v>2030/31</c:v>
                </c:pt>
                <c:pt idx="10">
                  <c:v>2031/32</c:v>
                </c:pt>
                <c:pt idx="11">
                  <c:v>2032/33</c:v>
                </c:pt>
                <c:pt idx="12">
                  <c:v>2033/34</c:v>
                </c:pt>
                <c:pt idx="13">
                  <c:v>2034/35</c:v>
                </c:pt>
                <c:pt idx="14">
                  <c:v>2035/36</c:v>
                </c:pt>
                <c:pt idx="15">
                  <c:v>2036/37</c:v>
                </c:pt>
                <c:pt idx="16">
                  <c:v>2037/38</c:v>
                </c:pt>
                <c:pt idx="17">
                  <c:v>2038/39</c:v>
                </c:pt>
                <c:pt idx="18">
                  <c:v>2039/40</c:v>
                </c:pt>
                <c:pt idx="19">
                  <c:v>2040/41</c:v>
                </c:pt>
                <c:pt idx="20">
                  <c:v>2041/42</c:v>
                </c:pt>
                <c:pt idx="21">
                  <c:v>2042/43</c:v>
                </c:pt>
                <c:pt idx="22">
                  <c:v>2043/44</c:v>
                </c:pt>
                <c:pt idx="23">
                  <c:v>2044/45</c:v>
                </c:pt>
                <c:pt idx="24">
                  <c:v>2045/46</c:v>
                </c:pt>
                <c:pt idx="25">
                  <c:v>2046/47</c:v>
                </c:pt>
                <c:pt idx="26">
                  <c:v>2047/48</c:v>
                </c:pt>
                <c:pt idx="27">
                  <c:v>2048/49</c:v>
                </c:pt>
                <c:pt idx="28">
                  <c:v>2049/50</c:v>
                </c:pt>
                <c:pt idx="29">
                  <c:v>2050/51</c:v>
                </c:pt>
                <c:pt idx="30">
                  <c:v>2051/52</c:v>
                </c:pt>
                <c:pt idx="31">
                  <c:v>2052/53</c:v>
                </c:pt>
                <c:pt idx="32">
                  <c:v>2053/54</c:v>
                </c:pt>
                <c:pt idx="33">
                  <c:v>2054/55</c:v>
                </c:pt>
                <c:pt idx="34">
                  <c:v>2055/56</c:v>
                </c:pt>
                <c:pt idx="35">
                  <c:v>2056/57</c:v>
                </c:pt>
                <c:pt idx="36">
                  <c:v>2057/58</c:v>
                </c:pt>
                <c:pt idx="37">
                  <c:v>2058/59</c:v>
                </c:pt>
                <c:pt idx="38">
                  <c:v>2059/60</c:v>
                </c:pt>
                <c:pt idx="39">
                  <c:v>2060/61</c:v>
                </c:pt>
                <c:pt idx="40">
                  <c:v>2061/62</c:v>
                </c:pt>
                <c:pt idx="41">
                  <c:v>2062/63</c:v>
                </c:pt>
                <c:pt idx="42">
                  <c:v>2063/64</c:v>
                </c:pt>
                <c:pt idx="43">
                  <c:v>2064/65</c:v>
                </c:pt>
                <c:pt idx="44">
                  <c:v>2065/66</c:v>
                </c:pt>
                <c:pt idx="45">
                  <c:v>2066/67</c:v>
                </c:pt>
                <c:pt idx="46">
                  <c:v>2067/68</c:v>
                </c:pt>
                <c:pt idx="47">
                  <c:v>2068/69</c:v>
                </c:pt>
                <c:pt idx="48">
                  <c:v>2069/70</c:v>
                </c:pt>
                <c:pt idx="49">
                  <c:v>2070/71</c:v>
                </c:pt>
                <c:pt idx="50">
                  <c:v>2071/72</c:v>
                </c:pt>
                <c:pt idx="51">
                  <c:v>2072/73</c:v>
                </c:pt>
                <c:pt idx="52">
                  <c:v>2073/74</c:v>
                </c:pt>
                <c:pt idx="53">
                  <c:v>2074/75</c:v>
                </c:pt>
                <c:pt idx="54">
                  <c:v>2075/76</c:v>
                </c:pt>
                <c:pt idx="55">
                  <c:v>2076/77</c:v>
                </c:pt>
                <c:pt idx="56">
                  <c:v>2077/78</c:v>
                </c:pt>
                <c:pt idx="57">
                  <c:v>2078/79</c:v>
                </c:pt>
                <c:pt idx="58">
                  <c:v>2079/80</c:v>
                </c:pt>
                <c:pt idx="59">
                  <c:v>2080/81</c:v>
                </c:pt>
                <c:pt idx="60">
                  <c:v>2081/82</c:v>
                </c:pt>
                <c:pt idx="61">
                  <c:v>2082/83</c:v>
                </c:pt>
                <c:pt idx="62">
                  <c:v>2083/84</c:v>
                </c:pt>
                <c:pt idx="63">
                  <c:v>2084/85</c:v>
                </c:pt>
                <c:pt idx="64">
                  <c:v>2085/86</c:v>
                </c:pt>
                <c:pt idx="65">
                  <c:v>2086/87</c:v>
                </c:pt>
                <c:pt idx="66">
                  <c:v>2087/88</c:v>
                </c:pt>
                <c:pt idx="67">
                  <c:v>2088/89</c:v>
                </c:pt>
                <c:pt idx="68">
                  <c:v>2089/90</c:v>
                </c:pt>
                <c:pt idx="69">
                  <c:v>2090/91</c:v>
                </c:pt>
                <c:pt idx="70">
                  <c:v>2091/92</c:v>
                </c:pt>
              </c:strCache>
            </c:strRef>
          </c:cat>
          <c:val>
            <c:numRef>
              <c:f>Calculations!$B$7:$BT$7</c:f>
              <c:numCache>
                <c:formatCode>"£"#,##0</c:formatCode>
                <c:ptCount val="71"/>
                <c:pt idx="0">
                  <c:v>2000</c:v>
                </c:pt>
                <c:pt idx="1">
                  <c:v>2000</c:v>
                </c:pt>
                <c:pt idx="2">
                  <c:v>2000</c:v>
                </c:pt>
                <c:pt idx="3">
                  <c:v>2000</c:v>
                </c:pt>
                <c:pt idx="4">
                  <c:v>2000</c:v>
                </c:pt>
                <c:pt idx="5">
                  <c:v>2000</c:v>
                </c:pt>
                <c:pt idx="6">
                  <c:v>2000</c:v>
                </c:pt>
                <c:pt idx="7">
                  <c:v>2000</c:v>
                </c:pt>
                <c:pt idx="8">
                  <c:v>2000</c:v>
                </c:pt>
                <c:pt idx="9">
                  <c:v>2000</c:v>
                </c:pt>
                <c:pt idx="10">
                  <c:v>2000</c:v>
                </c:pt>
                <c:pt idx="11">
                  <c:v>2000</c:v>
                </c:pt>
                <c:pt idx="12">
                  <c:v>2000</c:v>
                </c:pt>
                <c:pt idx="13">
                  <c:v>2000</c:v>
                </c:pt>
                <c:pt idx="14">
                  <c:v>2000</c:v>
                </c:pt>
                <c:pt idx="15">
                  <c:v>2000</c:v>
                </c:pt>
                <c:pt idx="16">
                  <c:v>2000</c:v>
                </c:pt>
                <c:pt idx="17">
                  <c:v>2000</c:v>
                </c:pt>
                <c:pt idx="18">
                  <c:v>2000</c:v>
                </c:pt>
                <c:pt idx="19">
                  <c:v>2000</c:v>
                </c:pt>
                <c:pt idx="20">
                  <c:v>2000</c:v>
                </c:pt>
                <c:pt idx="21">
                  <c:v>2000</c:v>
                </c:pt>
                <c:pt idx="22">
                  <c:v>2000</c:v>
                </c:pt>
                <c:pt idx="23">
                  <c:v>2000</c:v>
                </c:pt>
                <c:pt idx="24">
                  <c:v>2000</c:v>
                </c:pt>
                <c:pt idx="25">
                  <c:v>2000</c:v>
                </c:pt>
                <c:pt idx="26">
                  <c:v>2000</c:v>
                </c:pt>
                <c:pt idx="27">
                  <c:v>2000</c:v>
                </c:pt>
                <c:pt idx="28">
                  <c:v>2000</c:v>
                </c:pt>
                <c:pt idx="29">
                  <c:v>2000</c:v>
                </c:pt>
                <c:pt idx="30">
                  <c:v>2000</c:v>
                </c:pt>
                <c:pt idx="31">
                  <c:v>2000</c:v>
                </c:pt>
                <c:pt idx="32">
                  <c:v>2000</c:v>
                </c:pt>
                <c:pt idx="33">
                  <c:v>2000</c:v>
                </c:pt>
                <c:pt idx="34">
                  <c:v>2000</c:v>
                </c:pt>
                <c:pt idx="35">
                  <c:v>2000</c:v>
                </c:pt>
                <c:pt idx="36">
                  <c:v>2000</c:v>
                </c:pt>
                <c:pt idx="37">
                  <c:v>2000</c:v>
                </c:pt>
                <c:pt idx="38">
                  <c:v>2000</c:v>
                </c:pt>
                <c:pt idx="39">
                  <c:v>2000</c:v>
                </c:pt>
                <c:pt idx="40">
                  <c:v>2000</c:v>
                </c:pt>
                <c:pt idx="41">
                  <c:v>2000</c:v>
                </c:pt>
                <c:pt idx="42">
                  <c:v>2000</c:v>
                </c:pt>
                <c:pt idx="43">
                  <c:v>2000</c:v>
                </c:pt>
                <c:pt idx="44">
                  <c:v>2000</c:v>
                </c:pt>
                <c:pt idx="45">
                  <c:v>0</c:v>
                </c:pt>
              </c:numCache>
            </c:numRef>
          </c:val>
          <c:extLst>
            <c:ext xmlns:c16="http://schemas.microsoft.com/office/drawing/2014/chart" uri="{C3380CC4-5D6E-409C-BE32-E72D297353CC}">
              <c16:uniqueId val="{00000002-E400-46A8-B17C-066E6F7CDF1C}"/>
            </c:ext>
          </c:extLst>
        </c:ser>
        <c:ser>
          <c:idx val="9"/>
          <c:order val="3"/>
          <c:tx>
            <c:strRef>
              <c:f>Calculations!$A$8</c:f>
              <c:strCache>
                <c:ptCount val="1"/>
                <c:pt idx="0">
                  <c:v>Short Term inc LA Temporary Borrowing (&lt;1 year)</c:v>
                </c:pt>
              </c:strCache>
            </c:strRef>
          </c:tx>
          <c:spPr>
            <a:solidFill>
              <a:schemeClr val="accent2">
                <a:lumMod val="60000"/>
                <a:lumOff val="40000"/>
              </a:schemeClr>
            </a:solidFill>
            <a:ln>
              <a:solidFill>
                <a:schemeClr val="bg1"/>
              </a:solidFill>
            </a:ln>
            <a:effectLst/>
          </c:spPr>
          <c:invertIfNegative val="0"/>
          <c:cat>
            <c:strRef>
              <c:f>Calculations!$B$3:$BT$3</c:f>
              <c:strCache>
                <c:ptCount val="71"/>
                <c:pt idx="0">
                  <c:v>2021/22</c:v>
                </c:pt>
                <c:pt idx="1">
                  <c:v>2022/23</c:v>
                </c:pt>
                <c:pt idx="2">
                  <c:v>2023/24</c:v>
                </c:pt>
                <c:pt idx="3">
                  <c:v>2024/25</c:v>
                </c:pt>
                <c:pt idx="4">
                  <c:v>2025/26</c:v>
                </c:pt>
                <c:pt idx="5">
                  <c:v>2026/27</c:v>
                </c:pt>
                <c:pt idx="6">
                  <c:v>2027/28</c:v>
                </c:pt>
                <c:pt idx="7">
                  <c:v>2028/29</c:v>
                </c:pt>
                <c:pt idx="8">
                  <c:v>2029/30</c:v>
                </c:pt>
                <c:pt idx="9">
                  <c:v>2030/31</c:v>
                </c:pt>
                <c:pt idx="10">
                  <c:v>2031/32</c:v>
                </c:pt>
                <c:pt idx="11">
                  <c:v>2032/33</c:v>
                </c:pt>
                <c:pt idx="12">
                  <c:v>2033/34</c:v>
                </c:pt>
                <c:pt idx="13">
                  <c:v>2034/35</c:v>
                </c:pt>
                <c:pt idx="14">
                  <c:v>2035/36</c:v>
                </c:pt>
                <c:pt idx="15">
                  <c:v>2036/37</c:v>
                </c:pt>
                <c:pt idx="16">
                  <c:v>2037/38</c:v>
                </c:pt>
                <c:pt idx="17">
                  <c:v>2038/39</c:v>
                </c:pt>
                <c:pt idx="18">
                  <c:v>2039/40</c:v>
                </c:pt>
                <c:pt idx="19">
                  <c:v>2040/41</c:v>
                </c:pt>
                <c:pt idx="20">
                  <c:v>2041/42</c:v>
                </c:pt>
                <c:pt idx="21">
                  <c:v>2042/43</c:v>
                </c:pt>
                <c:pt idx="22">
                  <c:v>2043/44</c:v>
                </c:pt>
                <c:pt idx="23">
                  <c:v>2044/45</c:v>
                </c:pt>
                <c:pt idx="24">
                  <c:v>2045/46</c:v>
                </c:pt>
                <c:pt idx="25">
                  <c:v>2046/47</c:v>
                </c:pt>
                <c:pt idx="26">
                  <c:v>2047/48</c:v>
                </c:pt>
                <c:pt idx="27">
                  <c:v>2048/49</c:v>
                </c:pt>
                <c:pt idx="28">
                  <c:v>2049/50</c:v>
                </c:pt>
                <c:pt idx="29">
                  <c:v>2050/51</c:v>
                </c:pt>
                <c:pt idx="30">
                  <c:v>2051/52</c:v>
                </c:pt>
                <c:pt idx="31">
                  <c:v>2052/53</c:v>
                </c:pt>
                <c:pt idx="32">
                  <c:v>2053/54</c:v>
                </c:pt>
                <c:pt idx="33">
                  <c:v>2054/55</c:v>
                </c:pt>
                <c:pt idx="34">
                  <c:v>2055/56</c:v>
                </c:pt>
                <c:pt idx="35">
                  <c:v>2056/57</c:v>
                </c:pt>
                <c:pt idx="36">
                  <c:v>2057/58</c:v>
                </c:pt>
                <c:pt idx="37">
                  <c:v>2058/59</c:v>
                </c:pt>
                <c:pt idx="38">
                  <c:v>2059/60</c:v>
                </c:pt>
                <c:pt idx="39">
                  <c:v>2060/61</c:v>
                </c:pt>
                <c:pt idx="40">
                  <c:v>2061/62</c:v>
                </c:pt>
                <c:pt idx="41">
                  <c:v>2062/63</c:v>
                </c:pt>
                <c:pt idx="42">
                  <c:v>2063/64</c:v>
                </c:pt>
                <c:pt idx="43">
                  <c:v>2064/65</c:v>
                </c:pt>
                <c:pt idx="44">
                  <c:v>2065/66</c:v>
                </c:pt>
                <c:pt idx="45">
                  <c:v>2066/67</c:v>
                </c:pt>
                <c:pt idx="46">
                  <c:v>2067/68</c:v>
                </c:pt>
                <c:pt idx="47">
                  <c:v>2068/69</c:v>
                </c:pt>
                <c:pt idx="48">
                  <c:v>2069/70</c:v>
                </c:pt>
                <c:pt idx="49">
                  <c:v>2070/71</c:v>
                </c:pt>
                <c:pt idx="50">
                  <c:v>2071/72</c:v>
                </c:pt>
                <c:pt idx="51">
                  <c:v>2072/73</c:v>
                </c:pt>
                <c:pt idx="52">
                  <c:v>2073/74</c:v>
                </c:pt>
                <c:pt idx="53">
                  <c:v>2074/75</c:v>
                </c:pt>
                <c:pt idx="54">
                  <c:v>2075/76</c:v>
                </c:pt>
                <c:pt idx="55">
                  <c:v>2076/77</c:v>
                </c:pt>
                <c:pt idx="56">
                  <c:v>2077/78</c:v>
                </c:pt>
                <c:pt idx="57">
                  <c:v>2078/79</c:v>
                </c:pt>
                <c:pt idx="58">
                  <c:v>2079/80</c:v>
                </c:pt>
                <c:pt idx="59">
                  <c:v>2080/81</c:v>
                </c:pt>
                <c:pt idx="60">
                  <c:v>2081/82</c:v>
                </c:pt>
                <c:pt idx="61">
                  <c:v>2082/83</c:v>
                </c:pt>
                <c:pt idx="62">
                  <c:v>2083/84</c:v>
                </c:pt>
                <c:pt idx="63">
                  <c:v>2084/85</c:v>
                </c:pt>
                <c:pt idx="64">
                  <c:v>2085/86</c:v>
                </c:pt>
                <c:pt idx="65">
                  <c:v>2086/87</c:v>
                </c:pt>
                <c:pt idx="66">
                  <c:v>2087/88</c:v>
                </c:pt>
                <c:pt idx="67">
                  <c:v>2088/89</c:v>
                </c:pt>
                <c:pt idx="68">
                  <c:v>2089/90</c:v>
                </c:pt>
                <c:pt idx="69">
                  <c:v>2090/91</c:v>
                </c:pt>
                <c:pt idx="70">
                  <c:v>2091/92</c:v>
                </c:pt>
              </c:strCache>
            </c:strRef>
          </c:cat>
          <c:val>
            <c:numRef>
              <c:f>Calculations!$B$8:$BT$8</c:f>
              <c:numCache>
                <c:formatCode>General</c:formatCode>
                <c:ptCount val="71"/>
              </c:numCache>
            </c:numRef>
          </c:val>
          <c:extLst>
            <c:ext xmlns:c16="http://schemas.microsoft.com/office/drawing/2014/chart" uri="{C3380CC4-5D6E-409C-BE32-E72D297353CC}">
              <c16:uniqueId val="{00000003-E400-46A8-B17C-066E6F7CDF1C}"/>
            </c:ext>
          </c:extLst>
        </c:ser>
        <c:ser>
          <c:idx val="3"/>
          <c:order val="4"/>
          <c:tx>
            <c:strRef>
              <c:f>Calculations!$A$9</c:f>
              <c:strCache>
                <c:ptCount val="1"/>
                <c:pt idx="0">
                  <c:v>Variable rate loans</c:v>
                </c:pt>
              </c:strCache>
            </c:strRef>
          </c:tx>
          <c:spPr>
            <a:solidFill>
              <a:schemeClr val="accent1">
                <a:lumMod val="60000"/>
                <a:lumOff val="40000"/>
              </a:schemeClr>
            </a:solidFill>
            <a:ln>
              <a:solidFill>
                <a:schemeClr val="bg1"/>
              </a:solidFill>
            </a:ln>
            <a:effectLst/>
          </c:spPr>
          <c:invertIfNegative val="0"/>
          <c:cat>
            <c:strRef>
              <c:f>Calculations!$B$3:$BT$3</c:f>
              <c:strCache>
                <c:ptCount val="71"/>
                <c:pt idx="0">
                  <c:v>2021/22</c:v>
                </c:pt>
                <c:pt idx="1">
                  <c:v>2022/23</c:v>
                </c:pt>
                <c:pt idx="2">
                  <c:v>2023/24</c:v>
                </c:pt>
                <c:pt idx="3">
                  <c:v>2024/25</c:v>
                </c:pt>
                <c:pt idx="4">
                  <c:v>2025/26</c:v>
                </c:pt>
                <c:pt idx="5">
                  <c:v>2026/27</c:v>
                </c:pt>
                <c:pt idx="6">
                  <c:v>2027/28</c:v>
                </c:pt>
                <c:pt idx="7">
                  <c:v>2028/29</c:v>
                </c:pt>
                <c:pt idx="8">
                  <c:v>2029/30</c:v>
                </c:pt>
                <c:pt idx="9">
                  <c:v>2030/31</c:v>
                </c:pt>
                <c:pt idx="10">
                  <c:v>2031/32</c:v>
                </c:pt>
                <c:pt idx="11">
                  <c:v>2032/33</c:v>
                </c:pt>
                <c:pt idx="12">
                  <c:v>2033/34</c:v>
                </c:pt>
                <c:pt idx="13">
                  <c:v>2034/35</c:v>
                </c:pt>
                <c:pt idx="14">
                  <c:v>2035/36</c:v>
                </c:pt>
                <c:pt idx="15">
                  <c:v>2036/37</c:v>
                </c:pt>
                <c:pt idx="16">
                  <c:v>2037/38</c:v>
                </c:pt>
                <c:pt idx="17">
                  <c:v>2038/39</c:v>
                </c:pt>
                <c:pt idx="18">
                  <c:v>2039/40</c:v>
                </c:pt>
                <c:pt idx="19">
                  <c:v>2040/41</c:v>
                </c:pt>
                <c:pt idx="20">
                  <c:v>2041/42</c:v>
                </c:pt>
                <c:pt idx="21">
                  <c:v>2042/43</c:v>
                </c:pt>
                <c:pt idx="22">
                  <c:v>2043/44</c:v>
                </c:pt>
                <c:pt idx="23">
                  <c:v>2044/45</c:v>
                </c:pt>
                <c:pt idx="24">
                  <c:v>2045/46</c:v>
                </c:pt>
                <c:pt idx="25">
                  <c:v>2046/47</c:v>
                </c:pt>
                <c:pt idx="26">
                  <c:v>2047/48</c:v>
                </c:pt>
                <c:pt idx="27">
                  <c:v>2048/49</c:v>
                </c:pt>
                <c:pt idx="28">
                  <c:v>2049/50</c:v>
                </c:pt>
                <c:pt idx="29">
                  <c:v>2050/51</c:v>
                </c:pt>
                <c:pt idx="30">
                  <c:v>2051/52</c:v>
                </c:pt>
                <c:pt idx="31">
                  <c:v>2052/53</c:v>
                </c:pt>
                <c:pt idx="32">
                  <c:v>2053/54</c:v>
                </c:pt>
                <c:pt idx="33">
                  <c:v>2054/55</c:v>
                </c:pt>
                <c:pt idx="34">
                  <c:v>2055/56</c:v>
                </c:pt>
                <c:pt idx="35">
                  <c:v>2056/57</c:v>
                </c:pt>
                <c:pt idx="36">
                  <c:v>2057/58</c:v>
                </c:pt>
                <c:pt idx="37">
                  <c:v>2058/59</c:v>
                </c:pt>
                <c:pt idx="38">
                  <c:v>2059/60</c:v>
                </c:pt>
                <c:pt idx="39">
                  <c:v>2060/61</c:v>
                </c:pt>
                <c:pt idx="40">
                  <c:v>2061/62</c:v>
                </c:pt>
                <c:pt idx="41">
                  <c:v>2062/63</c:v>
                </c:pt>
                <c:pt idx="42">
                  <c:v>2063/64</c:v>
                </c:pt>
                <c:pt idx="43">
                  <c:v>2064/65</c:v>
                </c:pt>
                <c:pt idx="44">
                  <c:v>2065/66</c:v>
                </c:pt>
                <c:pt idx="45">
                  <c:v>2066/67</c:v>
                </c:pt>
                <c:pt idx="46">
                  <c:v>2067/68</c:v>
                </c:pt>
                <c:pt idx="47">
                  <c:v>2068/69</c:v>
                </c:pt>
                <c:pt idx="48">
                  <c:v>2069/70</c:v>
                </c:pt>
                <c:pt idx="49">
                  <c:v>2070/71</c:v>
                </c:pt>
                <c:pt idx="50">
                  <c:v>2071/72</c:v>
                </c:pt>
                <c:pt idx="51">
                  <c:v>2072/73</c:v>
                </c:pt>
                <c:pt idx="52">
                  <c:v>2073/74</c:v>
                </c:pt>
                <c:pt idx="53">
                  <c:v>2074/75</c:v>
                </c:pt>
                <c:pt idx="54">
                  <c:v>2075/76</c:v>
                </c:pt>
                <c:pt idx="55">
                  <c:v>2076/77</c:v>
                </c:pt>
                <c:pt idx="56">
                  <c:v>2077/78</c:v>
                </c:pt>
                <c:pt idx="57">
                  <c:v>2078/79</c:v>
                </c:pt>
                <c:pt idx="58">
                  <c:v>2079/80</c:v>
                </c:pt>
                <c:pt idx="59">
                  <c:v>2080/81</c:v>
                </c:pt>
                <c:pt idx="60">
                  <c:v>2081/82</c:v>
                </c:pt>
                <c:pt idx="61">
                  <c:v>2082/83</c:v>
                </c:pt>
                <c:pt idx="62">
                  <c:v>2083/84</c:v>
                </c:pt>
                <c:pt idx="63">
                  <c:v>2084/85</c:v>
                </c:pt>
                <c:pt idx="64">
                  <c:v>2085/86</c:v>
                </c:pt>
                <c:pt idx="65">
                  <c:v>2086/87</c:v>
                </c:pt>
                <c:pt idx="66">
                  <c:v>2087/88</c:v>
                </c:pt>
                <c:pt idx="67">
                  <c:v>2088/89</c:v>
                </c:pt>
                <c:pt idx="68">
                  <c:v>2089/90</c:v>
                </c:pt>
                <c:pt idx="69">
                  <c:v>2090/91</c:v>
                </c:pt>
                <c:pt idx="70">
                  <c:v>2091/92</c:v>
                </c:pt>
              </c:strCache>
            </c:strRef>
          </c:cat>
          <c:val>
            <c:numRef>
              <c:f>Calculations!$B$9:$BT$9</c:f>
              <c:numCache>
                <c:formatCode>General</c:formatCode>
                <c:ptCount val="71"/>
              </c:numCache>
            </c:numRef>
          </c:val>
          <c:extLst>
            <c:ext xmlns:c16="http://schemas.microsoft.com/office/drawing/2014/chart" uri="{C3380CC4-5D6E-409C-BE32-E72D297353CC}">
              <c16:uniqueId val="{00000004-E400-46A8-B17C-066E6F7CDF1C}"/>
            </c:ext>
          </c:extLst>
        </c:ser>
        <c:dLbls>
          <c:showLegendKey val="0"/>
          <c:showVal val="0"/>
          <c:showCatName val="0"/>
          <c:showSerName val="0"/>
          <c:showPercent val="0"/>
          <c:showBubbleSize val="0"/>
        </c:dLbls>
        <c:gapWidth val="0"/>
        <c:overlap val="100"/>
        <c:axId val="1193711616"/>
        <c:axId val="1193709536"/>
      </c:barChart>
      <c:lineChart>
        <c:grouping val="standard"/>
        <c:varyColors val="0"/>
        <c:ser>
          <c:idx val="4"/>
          <c:order val="5"/>
          <c:tx>
            <c:strRef>
              <c:f>Calculations!$A$10</c:f>
              <c:strCache>
                <c:ptCount val="1"/>
                <c:pt idx="0">
                  <c:v>Existing Loan Debt Outstanding</c:v>
                </c:pt>
              </c:strCache>
            </c:strRef>
          </c:tx>
          <c:spPr>
            <a:ln w="47625" cap="rnd">
              <a:solidFill>
                <a:schemeClr val="tx1"/>
              </a:solidFill>
              <a:round/>
            </a:ln>
            <a:effectLst/>
          </c:spPr>
          <c:marker>
            <c:symbol val="none"/>
          </c:marker>
          <c:cat>
            <c:strRef>
              <c:f>Calculations!$B$3:$BT$3</c:f>
              <c:strCache>
                <c:ptCount val="71"/>
                <c:pt idx="0">
                  <c:v>2021/22</c:v>
                </c:pt>
                <c:pt idx="1">
                  <c:v>2022/23</c:v>
                </c:pt>
                <c:pt idx="2">
                  <c:v>2023/24</c:v>
                </c:pt>
                <c:pt idx="3">
                  <c:v>2024/25</c:v>
                </c:pt>
                <c:pt idx="4">
                  <c:v>2025/26</c:v>
                </c:pt>
                <c:pt idx="5">
                  <c:v>2026/27</c:v>
                </c:pt>
                <c:pt idx="6">
                  <c:v>2027/28</c:v>
                </c:pt>
                <c:pt idx="7">
                  <c:v>2028/29</c:v>
                </c:pt>
                <c:pt idx="8">
                  <c:v>2029/30</c:v>
                </c:pt>
                <c:pt idx="9">
                  <c:v>2030/31</c:v>
                </c:pt>
                <c:pt idx="10">
                  <c:v>2031/32</c:v>
                </c:pt>
                <c:pt idx="11">
                  <c:v>2032/33</c:v>
                </c:pt>
                <c:pt idx="12">
                  <c:v>2033/34</c:v>
                </c:pt>
                <c:pt idx="13">
                  <c:v>2034/35</c:v>
                </c:pt>
                <c:pt idx="14">
                  <c:v>2035/36</c:v>
                </c:pt>
                <c:pt idx="15">
                  <c:v>2036/37</c:v>
                </c:pt>
                <c:pt idx="16">
                  <c:v>2037/38</c:v>
                </c:pt>
                <c:pt idx="17">
                  <c:v>2038/39</c:v>
                </c:pt>
                <c:pt idx="18">
                  <c:v>2039/40</c:v>
                </c:pt>
                <c:pt idx="19">
                  <c:v>2040/41</c:v>
                </c:pt>
                <c:pt idx="20">
                  <c:v>2041/42</c:v>
                </c:pt>
                <c:pt idx="21">
                  <c:v>2042/43</c:v>
                </c:pt>
                <c:pt idx="22">
                  <c:v>2043/44</c:v>
                </c:pt>
                <c:pt idx="23">
                  <c:v>2044/45</c:v>
                </c:pt>
                <c:pt idx="24">
                  <c:v>2045/46</c:v>
                </c:pt>
                <c:pt idx="25">
                  <c:v>2046/47</c:v>
                </c:pt>
                <c:pt idx="26">
                  <c:v>2047/48</c:v>
                </c:pt>
                <c:pt idx="27">
                  <c:v>2048/49</c:v>
                </c:pt>
                <c:pt idx="28">
                  <c:v>2049/50</c:v>
                </c:pt>
                <c:pt idx="29">
                  <c:v>2050/51</c:v>
                </c:pt>
                <c:pt idx="30">
                  <c:v>2051/52</c:v>
                </c:pt>
                <c:pt idx="31">
                  <c:v>2052/53</c:v>
                </c:pt>
                <c:pt idx="32">
                  <c:v>2053/54</c:v>
                </c:pt>
                <c:pt idx="33">
                  <c:v>2054/55</c:v>
                </c:pt>
                <c:pt idx="34">
                  <c:v>2055/56</c:v>
                </c:pt>
                <c:pt idx="35">
                  <c:v>2056/57</c:v>
                </c:pt>
                <c:pt idx="36">
                  <c:v>2057/58</c:v>
                </c:pt>
                <c:pt idx="37">
                  <c:v>2058/59</c:v>
                </c:pt>
                <c:pt idx="38">
                  <c:v>2059/60</c:v>
                </c:pt>
                <c:pt idx="39">
                  <c:v>2060/61</c:v>
                </c:pt>
                <c:pt idx="40">
                  <c:v>2061/62</c:v>
                </c:pt>
                <c:pt idx="41">
                  <c:v>2062/63</c:v>
                </c:pt>
                <c:pt idx="42">
                  <c:v>2063/64</c:v>
                </c:pt>
                <c:pt idx="43">
                  <c:v>2064/65</c:v>
                </c:pt>
                <c:pt idx="44">
                  <c:v>2065/66</c:v>
                </c:pt>
                <c:pt idx="45">
                  <c:v>2066/67</c:v>
                </c:pt>
                <c:pt idx="46">
                  <c:v>2067/68</c:v>
                </c:pt>
                <c:pt idx="47">
                  <c:v>2068/69</c:v>
                </c:pt>
                <c:pt idx="48">
                  <c:v>2069/70</c:v>
                </c:pt>
                <c:pt idx="49">
                  <c:v>2070/71</c:v>
                </c:pt>
                <c:pt idx="50">
                  <c:v>2071/72</c:v>
                </c:pt>
                <c:pt idx="51">
                  <c:v>2072/73</c:v>
                </c:pt>
                <c:pt idx="52">
                  <c:v>2073/74</c:v>
                </c:pt>
                <c:pt idx="53">
                  <c:v>2074/75</c:v>
                </c:pt>
                <c:pt idx="54">
                  <c:v>2075/76</c:v>
                </c:pt>
                <c:pt idx="55">
                  <c:v>2076/77</c:v>
                </c:pt>
                <c:pt idx="56">
                  <c:v>2077/78</c:v>
                </c:pt>
                <c:pt idx="57">
                  <c:v>2078/79</c:v>
                </c:pt>
                <c:pt idx="58">
                  <c:v>2079/80</c:v>
                </c:pt>
                <c:pt idx="59">
                  <c:v>2080/81</c:v>
                </c:pt>
                <c:pt idx="60">
                  <c:v>2081/82</c:v>
                </c:pt>
                <c:pt idx="61">
                  <c:v>2082/83</c:v>
                </c:pt>
                <c:pt idx="62">
                  <c:v>2083/84</c:v>
                </c:pt>
                <c:pt idx="63">
                  <c:v>2084/85</c:v>
                </c:pt>
                <c:pt idx="64">
                  <c:v>2085/86</c:v>
                </c:pt>
                <c:pt idx="65">
                  <c:v>2086/87</c:v>
                </c:pt>
                <c:pt idx="66">
                  <c:v>2087/88</c:v>
                </c:pt>
                <c:pt idx="67">
                  <c:v>2088/89</c:v>
                </c:pt>
                <c:pt idx="68">
                  <c:v>2089/90</c:v>
                </c:pt>
                <c:pt idx="69">
                  <c:v>2090/91</c:v>
                </c:pt>
                <c:pt idx="70">
                  <c:v>2091/92</c:v>
                </c:pt>
              </c:strCache>
            </c:strRef>
          </c:cat>
          <c:val>
            <c:numRef>
              <c:f>Calculations!$B$10:$BT$10</c:f>
              <c:numCache>
                <c:formatCode>"£"#,##0</c:formatCode>
                <c:ptCount val="71"/>
                <c:pt idx="0">
                  <c:v>45016</c:v>
                </c:pt>
                <c:pt idx="1">
                  <c:v>45016</c:v>
                </c:pt>
                <c:pt idx="2">
                  <c:v>43937</c:v>
                </c:pt>
                <c:pt idx="3">
                  <c:v>41937</c:v>
                </c:pt>
                <c:pt idx="4">
                  <c:v>40937</c:v>
                </c:pt>
                <c:pt idx="5">
                  <c:v>40187</c:v>
                </c:pt>
                <c:pt idx="6">
                  <c:v>39437</c:v>
                </c:pt>
                <c:pt idx="7">
                  <c:v>38437</c:v>
                </c:pt>
                <c:pt idx="8">
                  <c:v>37687</c:v>
                </c:pt>
                <c:pt idx="9">
                  <c:v>36937</c:v>
                </c:pt>
                <c:pt idx="10">
                  <c:v>36437</c:v>
                </c:pt>
                <c:pt idx="11">
                  <c:v>35937</c:v>
                </c:pt>
                <c:pt idx="12">
                  <c:v>35437</c:v>
                </c:pt>
                <c:pt idx="13">
                  <c:v>35437</c:v>
                </c:pt>
                <c:pt idx="14">
                  <c:v>34727</c:v>
                </c:pt>
                <c:pt idx="15">
                  <c:v>33587</c:v>
                </c:pt>
                <c:pt idx="16">
                  <c:v>32737</c:v>
                </c:pt>
                <c:pt idx="17">
                  <c:v>31362</c:v>
                </c:pt>
                <c:pt idx="18">
                  <c:v>30552</c:v>
                </c:pt>
                <c:pt idx="19">
                  <c:v>29742</c:v>
                </c:pt>
                <c:pt idx="20">
                  <c:v>29182</c:v>
                </c:pt>
                <c:pt idx="21">
                  <c:v>28357</c:v>
                </c:pt>
                <c:pt idx="22">
                  <c:v>27145</c:v>
                </c:pt>
                <c:pt idx="23">
                  <c:v>26145</c:v>
                </c:pt>
                <c:pt idx="24">
                  <c:v>25245</c:v>
                </c:pt>
                <c:pt idx="25">
                  <c:v>24175</c:v>
                </c:pt>
                <c:pt idx="26">
                  <c:v>22175</c:v>
                </c:pt>
                <c:pt idx="27">
                  <c:v>20175</c:v>
                </c:pt>
                <c:pt idx="28">
                  <c:v>19175</c:v>
                </c:pt>
                <c:pt idx="29">
                  <c:v>17965</c:v>
                </c:pt>
                <c:pt idx="30">
                  <c:v>16765</c:v>
                </c:pt>
                <c:pt idx="31">
                  <c:v>14850</c:v>
                </c:pt>
                <c:pt idx="32">
                  <c:v>12850</c:v>
                </c:pt>
                <c:pt idx="33">
                  <c:v>10850</c:v>
                </c:pt>
                <c:pt idx="34">
                  <c:v>9000</c:v>
                </c:pt>
                <c:pt idx="35">
                  <c:v>7500</c:v>
                </c:pt>
                <c:pt idx="36">
                  <c:v>6000</c:v>
                </c:pt>
                <c:pt idx="37">
                  <c:v>4000</c:v>
                </c:pt>
                <c:pt idx="38">
                  <c:v>2000</c:v>
                </c:pt>
                <c:pt idx="39">
                  <c:v>2000</c:v>
                </c:pt>
                <c:pt idx="40">
                  <c:v>2000</c:v>
                </c:pt>
                <c:pt idx="41">
                  <c:v>2000</c:v>
                </c:pt>
                <c:pt idx="42">
                  <c:v>2000</c:v>
                </c:pt>
                <c:pt idx="43">
                  <c:v>2000</c:v>
                </c:pt>
                <c:pt idx="44">
                  <c:v>2000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numCache>
            </c:numRef>
          </c:val>
          <c:smooth val="0"/>
          <c:extLst>
            <c:ext xmlns:c16="http://schemas.microsoft.com/office/drawing/2014/chart" uri="{C3380CC4-5D6E-409C-BE32-E72D297353CC}">
              <c16:uniqueId val="{00000005-E400-46A8-B17C-066E6F7CDF1C}"/>
            </c:ext>
          </c:extLst>
        </c:ser>
        <c:ser>
          <c:idx val="2"/>
          <c:order val="6"/>
          <c:tx>
            <c:strRef>
              <c:f>Calculations!$A$17</c:f>
              <c:strCache>
                <c:ptCount val="1"/>
                <c:pt idx="0">
                  <c:v>Net Loans Requirement (forecast net loan debt)</c:v>
                </c:pt>
              </c:strCache>
            </c:strRef>
          </c:tx>
          <c:spPr>
            <a:ln w="44450" cap="rnd">
              <a:solidFill>
                <a:srgbClr val="F26729"/>
              </a:solidFill>
              <a:round/>
            </a:ln>
            <a:effectLst/>
          </c:spPr>
          <c:marker>
            <c:symbol val="none"/>
          </c:marker>
          <c:cat>
            <c:strRef>
              <c:f>Calculations!$B$3:$BT$3</c:f>
              <c:strCache>
                <c:ptCount val="71"/>
                <c:pt idx="0">
                  <c:v>2021/22</c:v>
                </c:pt>
                <c:pt idx="1">
                  <c:v>2022/23</c:v>
                </c:pt>
                <c:pt idx="2">
                  <c:v>2023/24</c:v>
                </c:pt>
                <c:pt idx="3">
                  <c:v>2024/25</c:v>
                </c:pt>
                <c:pt idx="4">
                  <c:v>2025/26</c:v>
                </c:pt>
                <c:pt idx="5">
                  <c:v>2026/27</c:v>
                </c:pt>
                <c:pt idx="6">
                  <c:v>2027/28</c:v>
                </c:pt>
                <c:pt idx="7">
                  <c:v>2028/29</c:v>
                </c:pt>
                <c:pt idx="8">
                  <c:v>2029/30</c:v>
                </c:pt>
                <c:pt idx="9">
                  <c:v>2030/31</c:v>
                </c:pt>
                <c:pt idx="10">
                  <c:v>2031/32</c:v>
                </c:pt>
                <c:pt idx="11">
                  <c:v>2032/33</c:v>
                </c:pt>
                <c:pt idx="12">
                  <c:v>2033/34</c:v>
                </c:pt>
                <c:pt idx="13">
                  <c:v>2034/35</c:v>
                </c:pt>
                <c:pt idx="14">
                  <c:v>2035/36</c:v>
                </c:pt>
                <c:pt idx="15">
                  <c:v>2036/37</c:v>
                </c:pt>
                <c:pt idx="16">
                  <c:v>2037/38</c:v>
                </c:pt>
                <c:pt idx="17">
                  <c:v>2038/39</c:v>
                </c:pt>
                <c:pt idx="18">
                  <c:v>2039/40</c:v>
                </c:pt>
                <c:pt idx="19">
                  <c:v>2040/41</c:v>
                </c:pt>
                <c:pt idx="20">
                  <c:v>2041/42</c:v>
                </c:pt>
                <c:pt idx="21">
                  <c:v>2042/43</c:v>
                </c:pt>
                <c:pt idx="22">
                  <c:v>2043/44</c:v>
                </c:pt>
                <c:pt idx="23">
                  <c:v>2044/45</c:v>
                </c:pt>
                <c:pt idx="24">
                  <c:v>2045/46</c:v>
                </c:pt>
                <c:pt idx="25">
                  <c:v>2046/47</c:v>
                </c:pt>
                <c:pt idx="26">
                  <c:v>2047/48</c:v>
                </c:pt>
                <c:pt idx="27">
                  <c:v>2048/49</c:v>
                </c:pt>
                <c:pt idx="28">
                  <c:v>2049/50</c:v>
                </c:pt>
                <c:pt idx="29">
                  <c:v>2050/51</c:v>
                </c:pt>
                <c:pt idx="30">
                  <c:v>2051/52</c:v>
                </c:pt>
                <c:pt idx="31">
                  <c:v>2052/53</c:v>
                </c:pt>
                <c:pt idx="32">
                  <c:v>2053/54</c:v>
                </c:pt>
                <c:pt idx="33">
                  <c:v>2054/55</c:v>
                </c:pt>
                <c:pt idx="34">
                  <c:v>2055/56</c:v>
                </c:pt>
                <c:pt idx="35">
                  <c:v>2056/57</c:v>
                </c:pt>
                <c:pt idx="36">
                  <c:v>2057/58</c:v>
                </c:pt>
                <c:pt idx="37">
                  <c:v>2058/59</c:v>
                </c:pt>
                <c:pt idx="38">
                  <c:v>2059/60</c:v>
                </c:pt>
                <c:pt idx="39">
                  <c:v>2060/61</c:v>
                </c:pt>
                <c:pt idx="40">
                  <c:v>2061/62</c:v>
                </c:pt>
                <c:pt idx="41">
                  <c:v>2062/63</c:v>
                </c:pt>
                <c:pt idx="42">
                  <c:v>2063/64</c:v>
                </c:pt>
                <c:pt idx="43">
                  <c:v>2064/65</c:v>
                </c:pt>
                <c:pt idx="44">
                  <c:v>2065/66</c:v>
                </c:pt>
                <c:pt idx="45">
                  <c:v>2066/67</c:v>
                </c:pt>
                <c:pt idx="46">
                  <c:v>2067/68</c:v>
                </c:pt>
                <c:pt idx="47">
                  <c:v>2068/69</c:v>
                </c:pt>
                <c:pt idx="48">
                  <c:v>2069/70</c:v>
                </c:pt>
                <c:pt idx="49">
                  <c:v>2070/71</c:v>
                </c:pt>
                <c:pt idx="50">
                  <c:v>2071/72</c:v>
                </c:pt>
                <c:pt idx="51">
                  <c:v>2072/73</c:v>
                </c:pt>
                <c:pt idx="52">
                  <c:v>2073/74</c:v>
                </c:pt>
                <c:pt idx="53">
                  <c:v>2074/75</c:v>
                </c:pt>
                <c:pt idx="54">
                  <c:v>2075/76</c:v>
                </c:pt>
                <c:pt idx="55">
                  <c:v>2076/77</c:v>
                </c:pt>
                <c:pt idx="56">
                  <c:v>2077/78</c:v>
                </c:pt>
                <c:pt idx="57">
                  <c:v>2078/79</c:v>
                </c:pt>
                <c:pt idx="58">
                  <c:v>2079/80</c:v>
                </c:pt>
                <c:pt idx="59">
                  <c:v>2080/81</c:v>
                </c:pt>
                <c:pt idx="60">
                  <c:v>2081/82</c:v>
                </c:pt>
                <c:pt idx="61">
                  <c:v>2082/83</c:v>
                </c:pt>
                <c:pt idx="62">
                  <c:v>2083/84</c:v>
                </c:pt>
                <c:pt idx="63">
                  <c:v>2084/85</c:v>
                </c:pt>
                <c:pt idx="64">
                  <c:v>2085/86</c:v>
                </c:pt>
                <c:pt idx="65">
                  <c:v>2086/87</c:v>
                </c:pt>
                <c:pt idx="66">
                  <c:v>2087/88</c:v>
                </c:pt>
                <c:pt idx="67">
                  <c:v>2088/89</c:v>
                </c:pt>
                <c:pt idx="68">
                  <c:v>2089/90</c:v>
                </c:pt>
                <c:pt idx="69">
                  <c:v>2090/91</c:v>
                </c:pt>
                <c:pt idx="70">
                  <c:v>2091/92</c:v>
                </c:pt>
              </c:strCache>
            </c:strRef>
          </c:cat>
          <c:val>
            <c:numRef>
              <c:f>Calculations!$B$17:$BT$17</c:f>
              <c:numCache>
                <c:formatCode>"£"#,##0</c:formatCode>
                <c:ptCount val="71"/>
                <c:pt idx="0">
                  <c:v>-2222</c:v>
                </c:pt>
                <c:pt idx="1">
                  <c:v>-4288.0254583472151</c:v>
                </c:pt>
                <c:pt idx="2">
                  <c:v>24140.183791367093</c:v>
                </c:pt>
                <c:pt idx="3">
                  <c:v>32917.268423960246</c:v>
                </c:pt>
                <c:pt idx="4">
                  <c:v>28240.442000144729</c:v>
                </c:pt>
                <c:pt idx="5">
                  <c:v>30109.630329976426</c:v>
                </c:pt>
                <c:pt idx="6">
                  <c:v>29886.142982269299</c:v>
                </c:pt>
                <c:pt idx="7">
                  <c:v>31785.350595610496</c:v>
                </c:pt>
                <c:pt idx="8">
                  <c:v>33694.251429508535</c:v>
                </c:pt>
                <c:pt idx="9">
                  <c:v>35768.037197807891</c:v>
                </c:pt>
                <c:pt idx="10">
                  <c:v>37680.265018815102</c:v>
                </c:pt>
                <c:pt idx="11">
                  <c:v>39274.0462492191</c:v>
                </c:pt>
                <c:pt idx="12">
                  <c:v>40474.839492948988</c:v>
                </c:pt>
                <c:pt idx="13">
                  <c:v>41774.486367522972</c:v>
                </c:pt>
                <c:pt idx="14">
                  <c:v>42912.185261143051</c:v>
                </c:pt>
                <c:pt idx="15">
                  <c:v>43750.367885794381</c:v>
                </c:pt>
                <c:pt idx="16">
                  <c:v>45486.651792140299</c:v>
                </c:pt>
                <c:pt idx="17">
                  <c:v>47669.060708362551</c:v>
                </c:pt>
                <c:pt idx="18">
                  <c:v>49591.366221761069</c:v>
                </c:pt>
                <c:pt idx="19">
                  <c:v>51290.910664720119</c:v>
                </c:pt>
                <c:pt idx="20">
                  <c:v>56990.910664720119</c:v>
                </c:pt>
                <c:pt idx="21">
                  <c:v>62690.910664720119</c:v>
                </c:pt>
                <c:pt idx="22">
                  <c:v>68390.910664720112</c:v>
                </c:pt>
                <c:pt idx="23">
                  <c:v>68390.910664720112</c:v>
                </c:pt>
                <c:pt idx="24">
                  <c:v>68390.910664720112</c:v>
                </c:pt>
                <c:pt idx="25">
                  <c:v>68390.910664720112</c:v>
                </c:pt>
                <c:pt idx="26">
                  <c:v>68390.910664720112</c:v>
                </c:pt>
                <c:pt idx="27">
                  <c:v>68390.910664720112</c:v>
                </c:pt>
                <c:pt idx="28">
                  <c:v>68390.910664720112</c:v>
                </c:pt>
                <c:pt idx="29">
                  <c:v>68390.910664720112</c:v>
                </c:pt>
                <c:pt idx="30">
                  <c:v>68390.910664720112</c:v>
                </c:pt>
                <c:pt idx="31">
                  <c:v>68390.910664720112</c:v>
                </c:pt>
                <c:pt idx="32">
                  <c:v>68390.910664720112</c:v>
                </c:pt>
                <c:pt idx="33">
                  <c:v>68390.910664720112</c:v>
                </c:pt>
                <c:pt idx="34">
                  <c:v>68390.910664720112</c:v>
                </c:pt>
                <c:pt idx="35">
                  <c:v>68390.910664720112</c:v>
                </c:pt>
                <c:pt idx="36">
                  <c:v>68390.910664720112</c:v>
                </c:pt>
                <c:pt idx="37">
                  <c:v>68390.910664720112</c:v>
                </c:pt>
                <c:pt idx="38">
                  <c:v>68390.910664720112</c:v>
                </c:pt>
                <c:pt idx="39">
                  <c:v>68390.910664720112</c:v>
                </c:pt>
                <c:pt idx="40">
                  <c:v>68390.910664720112</c:v>
                </c:pt>
                <c:pt idx="41">
                  <c:v>68390.910664720112</c:v>
                </c:pt>
                <c:pt idx="42">
                  <c:v>68390.910664720112</c:v>
                </c:pt>
                <c:pt idx="43">
                  <c:v>68390.910664720112</c:v>
                </c:pt>
                <c:pt idx="44">
                  <c:v>68390.910664720112</c:v>
                </c:pt>
                <c:pt idx="45">
                  <c:v>68390.910664720112</c:v>
                </c:pt>
                <c:pt idx="46">
                  <c:v>68390.910664720112</c:v>
                </c:pt>
                <c:pt idx="47">
                  <c:v>68390.910664720112</c:v>
                </c:pt>
                <c:pt idx="48">
                  <c:v>68390.910664720112</c:v>
                </c:pt>
                <c:pt idx="49">
                  <c:v>68390.910664720112</c:v>
                </c:pt>
                <c:pt idx="50">
                  <c:v>68390.910664720112</c:v>
                </c:pt>
                <c:pt idx="51">
                  <c:v>68390.910664720112</c:v>
                </c:pt>
                <c:pt idx="52">
                  <c:v>68390.910664720112</c:v>
                </c:pt>
                <c:pt idx="53">
                  <c:v>68390.910664720112</c:v>
                </c:pt>
                <c:pt idx="54">
                  <c:v>68390.910664720112</c:v>
                </c:pt>
                <c:pt idx="55">
                  <c:v>68390.910664720112</c:v>
                </c:pt>
                <c:pt idx="56">
                  <c:v>68390.910664720112</c:v>
                </c:pt>
                <c:pt idx="57">
                  <c:v>68390.910664720112</c:v>
                </c:pt>
                <c:pt idx="58">
                  <c:v>68390.910664720112</c:v>
                </c:pt>
                <c:pt idx="59">
                  <c:v>68390.910664720112</c:v>
                </c:pt>
                <c:pt idx="60">
                  <c:v>68390.910664720112</c:v>
                </c:pt>
                <c:pt idx="61">
                  <c:v>68390.910664720112</c:v>
                </c:pt>
                <c:pt idx="62">
                  <c:v>68390.910664720112</c:v>
                </c:pt>
                <c:pt idx="63">
                  <c:v>68390.910664720112</c:v>
                </c:pt>
                <c:pt idx="64">
                  <c:v>68390.910664720112</c:v>
                </c:pt>
                <c:pt idx="65">
                  <c:v>68390.910664720112</c:v>
                </c:pt>
                <c:pt idx="66">
                  <c:v>68390.910664720112</c:v>
                </c:pt>
                <c:pt idx="67">
                  <c:v>68390.910664720112</c:v>
                </c:pt>
                <c:pt idx="68">
                  <c:v>68390.910664720112</c:v>
                </c:pt>
                <c:pt idx="69">
                  <c:v>68390.910664720112</c:v>
                </c:pt>
                <c:pt idx="70">
                  <c:v>68390.910664720112</c:v>
                </c:pt>
              </c:numCache>
            </c:numRef>
          </c:val>
          <c:smooth val="0"/>
          <c:extLst>
            <c:ext xmlns:c16="http://schemas.microsoft.com/office/drawing/2014/chart" uri="{C3380CC4-5D6E-409C-BE32-E72D297353CC}">
              <c16:uniqueId val="{00000006-E400-46A8-B17C-066E6F7CDF1C}"/>
            </c:ext>
          </c:extLst>
        </c:ser>
        <c:ser>
          <c:idx val="5"/>
          <c:order val="7"/>
          <c:tx>
            <c:strRef>
              <c:f>Calculations!$A$22</c:f>
              <c:strCache>
                <c:ptCount val="1"/>
                <c:pt idx="0">
                  <c:v>Loans CFR</c:v>
                </c:pt>
              </c:strCache>
            </c:strRef>
          </c:tx>
          <c:spPr>
            <a:ln w="44450" cap="rnd">
              <a:solidFill>
                <a:srgbClr val="252D59"/>
              </a:solidFill>
              <a:round/>
            </a:ln>
            <a:effectLst/>
          </c:spPr>
          <c:marker>
            <c:symbol val="none"/>
          </c:marker>
          <c:cat>
            <c:strRef>
              <c:f>Calculations!$B$3:$BT$3</c:f>
              <c:strCache>
                <c:ptCount val="71"/>
                <c:pt idx="0">
                  <c:v>2021/22</c:v>
                </c:pt>
                <c:pt idx="1">
                  <c:v>2022/23</c:v>
                </c:pt>
                <c:pt idx="2">
                  <c:v>2023/24</c:v>
                </c:pt>
                <c:pt idx="3">
                  <c:v>2024/25</c:v>
                </c:pt>
                <c:pt idx="4">
                  <c:v>2025/26</c:v>
                </c:pt>
                <c:pt idx="5">
                  <c:v>2026/27</c:v>
                </c:pt>
                <c:pt idx="6">
                  <c:v>2027/28</c:v>
                </c:pt>
                <c:pt idx="7">
                  <c:v>2028/29</c:v>
                </c:pt>
                <c:pt idx="8">
                  <c:v>2029/30</c:v>
                </c:pt>
                <c:pt idx="9">
                  <c:v>2030/31</c:v>
                </c:pt>
                <c:pt idx="10">
                  <c:v>2031/32</c:v>
                </c:pt>
                <c:pt idx="11">
                  <c:v>2032/33</c:v>
                </c:pt>
                <c:pt idx="12">
                  <c:v>2033/34</c:v>
                </c:pt>
                <c:pt idx="13">
                  <c:v>2034/35</c:v>
                </c:pt>
                <c:pt idx="14">
                  <c:v>2035/36</c:v>
                </c:pt>
                <c:pt idx="15">
                  <c:v>2036/37</c:v>
                </c:pt>
                <c:pt idx="16">
                  <c:v>2037/38</c:v>
                </c:pt>
                <c:pt idx="17">
                  <c:v>2038/39</c:v>
                </c:pt>
                <c:pt idx="18">
                  <c:v>2039/40</c:v>
                </c:pt>
                <c:pt idx="19">
                  <c:v>2040/41</c:v>
                </c:pt>
                <c:pt idx="20">
                  <c:v>2041/42</c:v>
                </c:pt>
                <c:pt idx="21">
                  <c:v>2042/43</c:v>
                </c:pt>
                <c:pt idx="22">
                  <c:v>2043/44</c:v>
                </c:pt>
                <c:pt idx="23">
                  <c:v>2044/45</c:v>
                </c:pt>
                <c:pt idx="24">
                  <c:v>2045/46</c:v>
                </c:pt>
                <c:pt idx="25">
                  <c:v>2046/47</c:v>
                </c:pt>
                <c:pt idx="26">
                  <c:v>2047/48</c:v>
                </c:pt>
                <c:pt idx="27">
                  <c:v>2048/49</c:v>
                </c:pt>
                <c:pt idx="28">
                  <c:v>2049/50</c:v>
                </c:pt>
                <c:pt idx="29">
                  <c:v>2050/51</c:v>
                </c:pt>
                <c:pt idx="30">
                  <c:v>2051/52</c:v>
                </c:pt>
                <c:pt idx="31">
                  <c:v>2052/53</c:v>
                </c:pt>
                <c:pt idx="32">
                  <c:v>2053/54</c:v>
                </c:pt>
                <c:pt idx="33">
                  <c:v>2054/55</c:v>
                </c:pt>
                <c:pt idx="34">
                  <c:v>2055/56</c:v>
                </c:pt>
                <c:pt idx="35">
                  <c:v>2056/57</c:v>
                </c:pt>
                <c:pt idx="36">
                  <c:v>2057/58</c:v>
                </c:pt>
                <c:pt idx="37">
                  <c:v>2058/59</c:v>
                </c:pt>
                <c:pt idx="38">
                  <c:v>2059/60</c:v>
                </c:pt>
                <c:pt idx="39">
                  <c:v>2060/61</c:v>
                </c:pt>
                <c:pt idx="40">
                  <c:v>2061/62</c:v>
                </c:pt>
                <c:pt idx="41">
                  <c:v>2062/63</c:v>
                </c:pt>
                <c:pt idx="42">
                  <c:v>2063/64</c:v>
                </c:pt>
                <c:pt idx="43">
                  <c:v>2064/65</c:v>
                </c:pt>
                <c:pt idx="44">
                  <c:v>2065/66</c:v>
                </c:pt>
                <c:pt idx="45">
                  <c:v>2066/67</c:v>
                </c:pt>
                <c:pt idx="46">
                  <c:v>2067/68</c:v>
                </c:pt>
                <c:pt idx="47">
                  <c:v>2068/69</c:v>
                </c:pt>
                <c:pt idx="48">
                  <c:v>2069/70</c:v>
                </c:pt>
                <c:pt idx="49">
                  <c:v>2070/71</c:v>
                </c:pt>
                <c:pt idx="50">
                  <c:v>2071/72</c:v>
                </c:pt>
                <c:pt idx="51">
                  <c:v>2072/73</c:v>
                </c:pt>
                <c:pt idx="52">
                  <c:v>2073/74</c:v>
                </c:pt>
                <c:pt idx="53">
                  <c:v>2074/75</c:v>
                </c:pt>
                <c:pt idx="54">
                  <c:v>2075/76</c:v>
                </c:pt>
                <c:pt idx="55">
                  <c:v>2076/77</c:v>
                </c:pt>
                <c:pt idx="56">
                  <c:v>2077/78</c:v>
                </c:pt>
                <c:pt idx="57">
                  <c:v>2078/79</c:v>
                </c:pt>
                <c:pt idx="58">
                  <c:v>2079/80</c:v>
                </c:pt>
                <c:pt idx="59">
                  <c:v>2080/81</c:v>
                </c:pt>
                <c:pt idx="60">
                  <c:v>2081/82</c:v>
                </c:pt>
                <c:pt idx="61">
                  <c:v>2082/83</c:v>
                </c:pt>
                <c:pt idx="62">
                  <c:v>2083/84</c:v>
                </c:pt>
                <c:pt idx="63">
                  <c:v>2084/85</c:v>
                </c:pt>
                <c:pt idx="64">
                  <c:v>2085/86</c:v>
                </c:pt>
                <c:pt idx="65">
                  <c:v>2086/87</c:v>
                </c:pt>
                <c:pt idx="66">
                  <c:v>2087/88</c:v>
                </c:pt>
                <c:pt idx="67">
                  <c:v>2088/89</c:v>
                </c:pt>
                <c:pt idx="68">
                  <c:v>2089/90</c:v>
                </c:pt>
                <c:pt idx="69">
                  <c:v>2090/91</c:v>
                </c:pt>
                <c:pt idx="70">
                  <c:v>2091/92</c:v>
                </c:pt>
              </c:strCache>
            </c:strRef>
          </c:cat>
          <c:val>
            <c:numRef>
              <c:f>Calculations!$B$22:$BT$22</c:f>
              <c:numCache>
                <c:formatCode>"£"#,##0</c:formatCode>
                <c:ptCount val="71"/>
                <c:pt idx="0">
                  <c:v>39962.78076006144</c:v>
                </c:pt>
                <c:pt idx="1">
                  <c:v>37896.755301714227</c:v>
                </c:pt>
                <c:pt idx="2">
                  <c:v>66324.964551428537</c:v>
                </c:pt>
                <c:pt idx="3">
                  <c:v>75102.049184021686</c:v>
                </c:pt>
                <c:pt idx="4">
                  <c:v>73925.222760206161</c:v>
                </c:pt>
                <c:pt idx="5">
                  <c:v>75794.411090037858</c:v>
                </c:pt>
                <c:pt idx="6">
                  <c:v>75570.923742330735</c:v>
                </c:pt>
                <c:pt idx="7">
                  <c:v>77470.131355671925</c:v>
                </c:pt>
                <c:pt idx="8">
                  <c:v>79379.03218956996</c:v>
                </c:pt>
                <c:pt idx="9">
                  <c:v>81452.817957869323</c:v>
                </c:pt>
                <c:pt idx="10">
                  <c:v>83365.045778876534</c:v>
                </c:pt>
                <c:pt idx="11">
                  <c:v>84958.827009280532</c:v>
                </c:pt>
                <c:pt idx="12">
                  <c:v>86159.62025301042</c:v>
                </c:pt>
                <c:pt idx="13">
                  <c:v>87459.267127584404</c:v>
                </c:pt>
                <c:pt idx="14">
                  <c:v>88596.966021204484</c:v>
                </c:pt>
                <c:pt idx="15">
                  <c:v>89435.148645855807</c:v>
                </c:pt>
                <c:pt idx="16">
                  <c:v>91171.432552201717</c:v>
                </c:pt>
                <c:pt idx="17">
                  <c:v>93353.841468423969</c:v>
                </c:pt>
                <c:pt idx="18">
                  <c:v>95276.146981822487</c:v>
                </c:pt>
                <c:pt idx="19">
                  <c:v>96975.691424781529</c:v>
                </c:pt>
                <c:pt idx="20">
                  <c:v>102675.69142478153</c:v>
                </c:pt>
                <c:pt idx="21">
                  <c:v>102675.69142478153</c:v>
                </c:pt>
                <c:pt idx="22">
                  <c:v>102675.69142478153</c:v>
                </c:pt>
                <c:pt idx="23">
                  <c:v>102675.69142478153</c:v>
                </c:pt>
                <c:pt idx="24">
                  <c:v>102675.69142478153</c:v>
                </c:pt>
                <c:pt idx="25">
                  <c:v>102675.69142478153</c:v>
                </c:pt>
                <c:pt idx="26">
                  <c:v>102675.69142478153</c:v>
                </c:pt>
                <c:pt idx="27">
                  <c:v>102675.69142478153</c:v>
                </c:pt>
                <c:pt idx="28">
                  <c:v>102675.69142478153</c:v>
                </c:pt>
                <c:pt idx="29">
                  <c:v>102675.69142478153</c:v>
                </c:pt>
                <c:pt idx="30">
                  <c:v>102675.69142478153</c:v>
                </c:pt>
                <c:pt idx="31">
                  <c:v>102675.69142478153</c:v>
                </c:pt>
                <c:pt idx="32">
                  <c:v>102675.69142478153</c:v>
                </c:pt>
                <c:pt idx="33">
                  <c:v>102675.69142478153</c:v>
                </c:pt>
                <c:pt idx="34">
                  <c:v>102675.69142478153</c:v>
                </c:pt>
                <c:pt idx="35">
                  <c:v>102675.69142478153</c:v>
                </c:pt>
                <c:pt idx="36">
                  <c:v>102675.69142478153</c:v>
                </c:pt>
                <c:pt idx="37">
                  <c:v>102675.69142478153</c:v>
                </c:pt>
                <c:pt idx="38">
                  <c:v>102675.69142478153</c:v>
                </c:pt>
                <c:pt idx="39">
                  <c:v>102675.69142478153</c:v>
                </c:pt>
                <c:pt idx="40">
                  <c:v>102675.69142478153</c:v>
                </c:pt>
                <c:pt idx="41">
                  <c:v>102675.69142478153</c:v>
                </c:pt>
                <c:pt idx="42">
                  <c:v>102675.69142478153</c:v>
                </c:pt>
                <c:pt idx="43">
                  <c:v>102675.69142478153</c:v>
                </c:pt>
                <c:pt idx="44">
                  <c:v>102675.69142478153</c:v>
                </c:pt>
                <c:pt idx="45">
                  <c:v>102675.69142478153</c:v>
                </c:pt>
                <c:pt idx="46">
                  <c:v>102675.69142478153</c:v>
                </c:pt>
                <c:pt idx="47">
                  <c:v>102675.69142478153</c:v>
                </c:pt>
                <c:pt idx="48">
                  <c:v>102675.69142478153</c:v>
                </c:pt>
                <c:pt idx="49">
                  <c:v>102675.69142478153</c:v>
                </c:pt>
                <c:pt idx="50">
                  <c:v>102675.69142478153</c:v>
                </c:pt>
                <c:pt idx="51">
                  <c:v>102675.69142478153</c:v>
                </c:pt>
                <c:pt idx="52">
                  <c:v>102675.69142478153</c:v>
                </c:pt>
                <c:pt idx="53">
                  <c:v>102675.69142478153</c:v>
                </c:pt>
                <c:pt idx="54">
                  <c:v>102675.69142478153</c:v>
                </c:pt>
                <c:pt idx="55">
                  <c:v>102675.69142478153</c:v>
                </c:pt>
                <c:pt idx="56">
                  <c:v>102675.69142478153</c:v>
                </c:pt>
                <c:pt idx="57">
                  <c:v>102675.69142478153</c:v>
                </c:pt>
                <c:pt idx="58">
                  <c:v>102675.69142478153</c:v>
                </c:pt>
                <c:pt idx="59">
                  <c:v>102675.69142478153</c:v>
                </c:pt>
                <c:pt idx="60">
                  <c:v>102675.69142478153</c:v>
                </c:pt>
                <c:pt idx="61">
                  <c:v>102675.69142478153</c:v>
                </c:pt>
                <c:pt idx="62">
                  <c:v>102675.69142478153</c:v>
                </c:pt>
                <c:pt idx="63">
                  <c:v>102675.69142478153</c:v>
                </c:pt>
                <c:pt idx="64">
                  <c:v>102675.69142478153</c:v>
                </c:pt>
                <c:pt idx="65">
                  <c:v>102675.69142478153</c:v>
                </c:pt>
                <c:pt idx="66">
                  <c:v>102675.69142478153</c:v>
                </c:pt>
                <c:pt idx="67">
                  <c:v>102675.69142478153</c:v>
                </c:pt>
                <c:pt idx="68">
                  <c:v>102675.69142478153</c:v>
                </c:pt>
                <c:pt idx="69">
                  <c:v>102675.69142478153</c:v>
                </c:pt>
                <c:pt idx="70">
                  <c:v>102675.69142478153</c:v>
                </c:pt>
              </c:numCache>
            </c:numRef>
          </c:val>
          <c:smooth val="0"/>
          <c:extLst>
            <c:ext xmlns:c16="http://schemas.microsoft.com/office/drawing/2014/chart" uri="{C3380CC4-5D6E-409C-BE32-E72D297353CC}">
              <c16:uniqueId val="{00000007-E400-46A8-B17C-066E6F7CDF1C}"/>
            </c:ext>
          </c:extLst>
        </c:ser>
        <c:ser>
          <c:idx val="6"/>
          <c:order val="8"/>
          <c:tx>
            <c:strRef>
              <c:f>Calculations!$A$25</c:f>
              <c:strCache>
                <c:ptCount val="1"/>
                <c:pt idx="0">
                  <c:v>Liability Benchmark (Gross Loans Requirement)</c:v>
                </c:pt>
              </c:strCache>
            </c:strRef>
          </c:tx>
          <c:spPr>
            <a:ln w="44450" cap="rnd">
              <a:solidFill>
                <a:srgbClr val="FF0000"/>
              </a:solidFill>
              <a:prstDash val="sysDash"/>
              <a:round/>
            </a:ln>
            <a:effectLst/>
          </c:spPr>
          <c:marker>
            <c:symbol val="none"/>
          </c:marker>
          <c:cat>
            <c:strRef>
              <c:f>Calculations!$B$3:$BT$3</c:f>
              <c:strCache>
                <c:ptCount val="71"/>
                <c:pt idx="0">
                  <c:v>2021/22</c:v>
                </c:pt>
                <c:pt idx="1">
                  <c:v>2022/23</c:v>
                </c:pt>
                <c:pt idx="2">
                  <c:v>2023/24</c:v>
                </c:pt>
                <c:pt idx="3">
                  <c:v>2024/25</c:v>
                </c:pt>
                <c:pt idx="4">
                  <c:v>2025/26</c:v>
                </c:pt>
                <c:pt idx="5">
                  <c:v>2026/27</c:v>
                </c:pt>
                <c:pt idx="6">
                  <c:v>2027/28</c:v>
                </c:pt>
                <c:pt idx="7">
                  <c:v>2028/29</c:v>
                </c:pt>
                <c:pt idx="8">
                  <c:v>2029/30</c:v>
                </c:pt>
                <c:pt idx="9">
                  <c:v>2030/31</c:v>
                </c:pt>
                <c:pt idx="10">
                  <c:v>2031/32</c:v>
                </c:pt>
                <c:pt idx="11">
                  <c:v>2032/33</c:v>
                </c:pt>
                <c:pt idx="12">
                  <c:v>2033/34</c:v>
                </c:pt>
                <c:pt idx="13">
                  <c:v>2034/35</c:v>
                </c:pt>
                <c:pt idx="14">
                  <c:v>2035/36</c:v>
                </c:pt>
                <c:pt idx="15">
                  <c:v>2036/37</c:v>
                </c:pt>
                <c:pt idx="16">
                  <c:v>2037/38</c:v>
                </c:pt>
                <c:pt idx="17">
                  <c:v>2038/39</c:v>
                </c:pt>
                <c:pt idx="18">
                  <c:v>2039/40</c:v>
                </c:pt>
                <c:pt idx="19">
                  <c:v>2040/41</c:v>
                </c:pt>
                <c:pt idx="20">
                  <c:v>2041/42</c:v>
                </c:pt>
                <c:pt idx="21">
                  <c:v>2042/43</c:v>
                </c:pt>
                <c:pt idx="22">
                  <c:v>2043/44</c:v>
                </c:pt>
                <c:pt idx="23">
                  <c:v>2044/45</c:v>
                </c:pt>
                <c:pt idx="24">
                  <c:v>2045/46</c:v>
                </c:pt>
                <c:pt idx="25">
                  <c:v>2046/47</c:v>
                </c:pt>
                <c:pt idx="26">
                  <c:v>2047/48</c:v>
                </c:pt>
                <c:pt idx="27">
                  <c:v>2048/49</c:v>
                </c:pt>
                <c:pt idx="28">
                  <c:v>2049/50</c:v>
                </c:pt>
                <c:pt idx="29">
                  <c:v>2050/51</c:v>
                </c:pt>
                <c:pt idx="30">
                  <c:v>2051/52</c:v>
                </c:pt>
                <c:pt idx="31">
                  <c:v>2052/53</c:v>
                </c:pt>
                <c:pt idx="32">
                  <c:v>2053/54</c:v>
                </c:pt>
                <c:pt idx="33">
                  <c:v>2054/55</c:v>
                </c:pt>
                <c:pt idx="34">
                  <c:v>2055/56</c:v>
                </c:pt>
                <c:pt idx="35">
                  <c:v>2056/57</c:v>
                </c:pt>
                <c:pt idx="36">
                  <c:v>2057/58</c:v>
                </c:pt>
                <c:pt idx="37">
                  <c:v>2058/59</c:v>
                </c:pt>
                <c:pt idx="38">
                  <c:v>2059/60</c:v>
                </c:pt>
                <c:pt idx="39">
                  <c:v>2060/61</c:v>
                </c:pt>
                <c:pt idx="40">
                  <c:v>2061/62</c:v>
                </c:pt>
                <c:pt idx="41">
                  <c:v>2062/63</c:v>
                </c:pt>
                <c:pt idx="42">
                  <c:v>2063/64</c:v>
                </c:pt>
                <c:pt idx="43">
                  <c:v>2064/65</c:v>
                </c:pt>
                <c:pt idx="44">
                  <c:v>2065/66</c:v>
                </c:pt>
                <c:pt idx="45">
                  <c:v>2066/67</c:v>
                </c:pt>
                <c:pt idx="46">
                  <c:v>2067/68</c:v>
                </c:pt>
                <c:pt idx="47">
                  <c:v>2068/69</c:v>
                </c:pt>
                <c:pt idx="48">
                  <c:v>2069/70</c:v>
                </c:pt>
                <c:pt idx="49">
                  <c:v>2070/71</c:v>
                </c:pt>
                <c:pt idx="50">
                  <c:v>2071/72</c:v>
                </c:pt>
                <c:pt idx="51">
                  <c:v>2072/73</c:v>
                </c:pt>
                <c:pt idx="52">
                  <c:v>2073/74</c:v>
                </c:pt>
                <c:pt idx="53">
                  <c:v>2074/75</c:v>
                </c:pt>
                <c:pt idx="54">
                  <c:v>2075/76</c:v>
                </c:pt>
                <c:pt idx="55">
                  <c:v>2076/77</c:v>
                </c:pt>
                <c:pt idx="56">
                  <c:v>2077/78</c:v>
                </c:pt>
                <c:pt idx="57">
                  <c:v>2078/79</c:v>
                </c:pt>
                <c:pt idx="58">
                  <c:v>2079/80</c:v>
                </c:pt>
                <c:pt idx="59">
                  <c:v>2080/81</c:v>
                </c:pt>
                <c:pt idx="60">
                  <c:v>2081/82</c:v>
                </c:pt>
                <c:pt idx="61">
                  <c:v>2082/83</c:v>
                </c:pt>
                <c:pt idx="62">
                  <c:v>2083/84</c:v>
                </c:pt>
                <c:pt idx="63">
                  <c:v>2084/85</c:v>
                </c:pt>
                <c:pt idx="64">
                  <c:v>2085/86</c:v>
                </c:pt>
                <c:pt idx="65">
                  <c:v>2086/87</c:v>
                </c:pt>
                <c:pt idx="66">
                  <c:v>2087/88</c:v>
                </c:pt>
                <c:pt idx="67">
                  <c:v>2088/89</c:v>
                </c:pt>
                <c:pt idx="68">
                  <c:v>2089/90</c:v>
                </c:pt>
                <c:pt idx="69">
                  <c:v>2090/91</c:v>
                </c:pt>
                <c:pt idx="70">
                  <c:v>2091/92</c:v>
                </c:pt>
              </c:strCache>
            </c:strRef>
          </c:cat>
          <c:val>
            <c:numRef>
              <c:f>Calculations!$B$25:$BT$25</c:f>
              <c:numCache>
                <c:formatCode>"£"#,##0</c:formatCode>
                <c:ptCount val="71"/>
                <c:pt idx="0">
                  <c:v>17778</c:v>
                </c:pt>
                <c:pt idx="1">
                  <c:v>15711.974541652784</c:v>
                </c:pt>
                <c:pt idx="2">
                  <c:v>44140.18379136709</c:v>
                </c:pt>
                <c:pt idx="3">
                  <c:v>52917.268423960246</c:v>
                </c:pt>
                <c:pt idx="4">
                  <c:v>48240.442000144729</c:v>
                </c:pt>
                <c:pt idx="5">
                  <c:v>50109.630329976426</c:v>
                </c:pt>
                <c:pt idx="6">
                  <c:v>49886.142982269303</c:v>
                </c:pt>
                <c:pt idx="7">
                  <c:v>51785.350595610493</c:v>
                </c:pt>
                <c:pt idx="8">
                  <c:v>53694.251429508535</c:v>
                </c:pt>
                <c:pt idx="9">
                  <c:v>55768.037197807891</c:v>
                </c:pt>
                <c:pt idx="10">
                  <c:v>57680.265018815102</c:v>
                </c:pt>
                <c:pt idx="11">
                  <c:v>59274.0462492191</c:v>
                </c:pt>
                <c:pt idx="12">
                  <c:v>60474.839492948988</c:v>
                </c:pt>
                <c:pt idx="13">
                  <c:v>61774.486367522972</c:v>
                </c:pt>
                <c:pt idx="14">
                  <c:v>62912.185261143051</c:v>
                </c:pt>
                <c:pt idx="15">
                  <c:v>63750.367885794381</c:v>
                </c:pt>
                <c:pt idx="16">
                  <c:v>65486.651792140299</c:v>
                </c:pt>
                <c:pt idx="17">
                  <c:v>67669.060708362551</c:v>
                </c:pt>
                <c:pt idx="18">
                  <c:v>69591.366221761069</c:v>
                </c:pt>
                <c:pt idx="19">
                  <c:v>71290.910664720112</c:v>
                </c:pt>
                <c:pt idx="20">
                  <c:v>76990.910664720112</c:v>
                </c:pt>
                <c:pt idx="21">
                  <c:v>82690.910664720112</c:v>
                </c:pt>
                <c:pt idx="22">
                  <c:v>88390.910664720112</c:v>
                </c:pt>
                <c:pt idx="23">
                  <c:v>88390.910664720112</c:v>
                </c:pt>
                <c:pt idx="24">
                  <c:v>88390.910664720112</c:v>
                </c:pt>
                <c:pt idx="25">
                  <c:v>88390.910664720112</c:v>
                </c:pt>
                <c:pt idx="26">
                  <c:v>88390.910664720112</c:v>
                </c:pt>
                <c:pt idx="27">
                  <c:v>88390.910664720112</c:v>
                </c:pt>
                <c:pt idx="28">
                  <c:v>88390.910664720112</c:v>
                </c:pt>
                <c:pt idx="29">
                  <c:v>88390.910664720112</c:v>
                </c:pt>
                <c:pt idx="30">
                  <c:v>88390.910664720112</c:v>
                </c:pt>
                <c:pt idx="31">
                  <c:v>88390.910664720112</c:v>
                </c:pt>
                <c:pt idx="32">
                  <c:v>88390.910664720112</c:v>
                </c:pt>
                <c:pt idx="33">
                  <c:v>88390.910664720112</c:v>
                </c:pt>
                <c:pt idx="34">
                  <c:v>88390.910664720112</c:v>
                </c:pt>
                <c:pt idx="35">
                  <c:v>88390.910664720112</c:v>
                </c:pt>
                <c:pt idx="36">
                  <c:v>88390.910664720112</c:v>
                </c:pt>
                <c:pt idx="37">
                  <c:v>88390.910664720112</c:v>
                </c:pt>
                <c:pt idx="38">
                  <c:v>88390.910664720112</c:v>
                </c:pt>
                <c:pt idx="39">
                  <c:v>88390.910664720112</c:v>
                </c:pt>
                <c:pt idx="40">
                  <c:v>88390.910664720112</c:v>
                </c:pt>
                <c:pt idx="41">
                  <c:v>88390.910664720112</c:v>
                </c:pt>
                <c:pt idx="42">
                  <c:v>88390.910664720112</c:v>
                </c:pt>
                <c:pt idx="43">
                  <c:v>88390.910664720112</c:v>
                </c:pt>
                <c:pt idx="44">
                  <c:v>88390.910664720112</c:v>
                </c:pt>
                <c:pt idx="45">
                  <c:v>88390.910664720112</c:v>
                </c:pt>
                <c:pt idx="46">
                  <c:v>88390.910664720112</c:v>
                </c:pt>
                <c:pt idx="47">
                  <c:v>88390.910664720112</c:v>
                </c:pt>
                <c:pt idx="48">
                  <c:v>88390.910664720112</c:v>
                </c:pt>
                <c:pt idx="49">
                  <c:v>88390.910664720112</c:v>
                </c:pt>
                <c:pt idx="50">
                  <c:v>88390.910664720112</c:v>
                </c:pt>
                <c:pt idx="51">
                  <c:v>88390.910664720112</c:v>
                </c:pt>
                <c:pt idx="52">
                  <c:v>88390.910664720112</c:v>
                </c:pt>
                <c:pt idx="53">
                  <c:v>88390.910664720112</c:v>
                </c:pt>
                <c:pt idx="54">
                  <c:v>88390.910664720112</c:v>
                </c:pt>
                <c:pt idx="55">
                  <c:v>88390.910664720112</c:v>
                </c:pt>
                <c:pt idx="56">
                  <c:v>88390.910664720112</c:v>
                </c:pt>
                <c:pt idx="57">
                  <c:v>88390.910664720112</c:v>
                </c:pt>
                <c:pt idx="58">
                  <c:v>88390.910664720112</c:v>
                </c:pt>
                <c:pt idx="59">
                  <c:v>88390.910664720112</c:v>
                </c:pt>
                <c:pt idx="60">
                  <c:v>88390.910664720112</c:v>
                </c:pt>
                <c:pt idx="61">
                  <c:v>88390.910664720112</c:v>
                </c:pt>
                <c:pt idx="62">
                  <c:v>88390.910664720112</c:v>
                </c:pt>
                <c:pt idx="63">
                  <c:v>88390.910664720112</c:v>
                </c:pt>
                <c:pt idx="64">
                  <c:v>88390.910664720112</c:v>
                </c:pt>
                <c:pt idx="65">
                  <c:v>88390.910664720112</c:v>
                </c:pt>
                <c:pt idx="66">
                  <c:v>88390.910664720112</c:v>
                </c:pt>
                <c:pt idx="67">
                  <c:v>88390.910664720112</c:v>
                </c:pt>
                <c:pt idx="68">
                  <c:v>88390.910664720112</c:v>
                </c:pt>
                <c:pt idx="69">
                  <c:v>88390.910664720112</c:v>
                </c:pt>
                <c:pt idx="70">
                  <c:v>88390.910664720112</c:v>
                </c:pt>
              </c:numCache>
            </c:numRef>
          </c:val>
          <c:smooth val="0"/>
          <c:extLst>
            <c:ext xmlns:c16="http://schemas.microsoft.com/office/drawing/2014/chart" uri="{C3380CC4-5D6E-409C-BE32-E72D297353CC}">
              <c16:uniqueId val="{00000008-E400-46A8-B17C-066E6F7CDF1C}"/>
            </c:ext>
          </c:extLst>
        </c:ser>
        <c:dLbls>
          <c:showLegendKey val="0"/>
          <c:showVal val="0"/>
          <c:showCatName val="0"/>
          <c:showSerName val="0"/>
          <c:showPercent val="0"/>
          <c:showBubbleSize val="0"/>
        </c:dLbls>
        <c:marker val="1"/>
        <c:smooth val="0"/>
        <c:axId val="1193711616"/>
        <c:axId val="1193709536"/>
      </c:lineChart>
      <c:catAx>
        <c:axId val="119371161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93709536"/>
        <c:crosses val="autoZero"/>
        <c:auto val="0"/>
        <c:lblAlgn val="ctr"/>
        <c:lblOffset val="100"/>
        <c:noMultiLvlLbl val="0"/>
      </c:catAx>
      <c:valAx>
        <c:axId val="1193709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1200" b="1">
                    <a:solidFill>
                      <a:sysClr val="windowText" lastClr="000000"/>
                    </a:solidFill>
                    <a:latin typeface="Arial" panose="020B0604020202020204" pitchFamily="34" charset="0"/>
                    <a:cs typeface="Arial" panose="020B0604020202020204" pitchFamily="34" charset="0"/>
                  </a:rPr>
                  <a:t>Total Amount (£'000)</a:t>
                </a:r>
              </a:p>
            </c:rich>
          </c:tx>
          <c:layout>
            <c:manualLayout>
              <c:xMode val="edge"/>
              <c:yMode val="edge"/>
              <c:x val="1.6479776444393201E-2"/>
              <c:y val="0.3255148675333522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93711616"/>
        <c:crosses val="autoZero"/>
        <c:crossBetween val="between"/>
      </c:valAx>
      <c:spPr>
        <a:noFill/>
        <a:ln>
          <a:solidFill>
            <a:schemeClr val="bg2"/>
          </a:solidFill>
        </a:ln>
        <a:effectLst/>
      </c:spPr>
    </c:plotArea>
    <c:legend>
      <c:legendPos val="b"/>
      <c:layout>
        <c:manualLayout>
          <c:xMode val="edge"/>
          <c:yMode val="edge"/>
          <c:x val="3.5927749201406421E-2"/>
          <c:y val="0.89446571357105009"/>
          <c:w val="0.90900376923899218"/>
          <c:h val="0.10553428642894971"/>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D632E64AFCB4A9C942C965D89CB2A" ma:contentTypeVersion="122" ma:contentTypeDescription="Create a new document." ma:contentTypeScope="" ma:versionID="e7a4db120821f6b1aac42f799b0eb2e1">
  <xsd:schema xmlns:xsd="http://www.w3.org/2001/XMLSchema" xmlns:xs="http://www.w3.org/2001/XMLSchema" xmlns:p="http://schemas.microsoft.com/office/2006/metadata/properties" xmlns:ns2="939dd2ad-0b25-4427-9dc6-eb0d427f4138" xmlns:ns3="1d8a9874-af09-4d17-a159-f75b55fd6699" targetNamespace="http://schemas.microsoft.com/office/2006/metadata/properties" ma:root="true" ma:fieldsID="a9c4c9c9c01707d637e282469eff7663" ns2:_="" ns3:_="">
    <xsd:import namespace="939dd2ad-0b25-4427-9dc6-eb0d427f4138"/>
    <xsd:import namespace="1d8a9874-af09-4d17-a159-f75b55fd6699"/>
    <xsd:element name="properties">
      <xsd:complexType>
        <xsd:sequence>
          <xsd:element name="documentManagement">
            <xsd:complexType>
              <xsd:all>
                <xsd:element ref="ns3:TaxCatchAll" minOccurs="0"/>
                <xsd:element ref="ns2:d2c428c620de47619da1a5fd7ee15f3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dd2ad-0b25-4427-9dc6-eb0d427f4138" elementFormDefault="qualified">
    <xsd:import namespace="http://schemas.microsoft.com/office/2006/documentManagement/types"/>
    <xsd:import namespace="http://schemas.microsoft.com/office/infopath/2007/PartnerControls"/>
    <xsd:element name="d2c428c620de47619da1a5fd7ee15f3a" ma:index="10" nillable="true" ma:displayName="CFPO_0" ma:hidden="true" ma:internalName="d2c428c620de47619da1a5fd7ee15f3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a9874-af09-4d17-a159-f75b55fd669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cb08eee-c767-435b-bab7-8eb1cc3f7718}" ma:internalName="TaxCatchAll" ma:showField="CatchAllData" ma:web="1d8a9874-af09-4d17-a159-f75b55fd6699">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1d8a9874-af09-4d17-a159-f75b55fd6699" xsi:nil="true"/>
    <d2c428c620de47619da1a5fd7ee15f3a xmlns="939dd2ad-0b25-4427-9dc6-eb0d427f4138">
      <Terms xmlns="http://schemas.microsoft.com/office/infopath/2007/PartnerControls"/>
    </d2c428c620de47619da1a5fd7ee15f3a>
    <TaxCatchAll xmlns="1d8a9874-af09-4d17-a159-f75b55fd6699" xsi:nil="true"/>
    <_dlc_DocId xmlns="1d8a9874-af09-4d17-a159-f75b55fd6699">PU4DMHKPWREY-290155665-10758</_dlc_DocId>
    <_dlc_DocIdUrl xmlns="1d8a9874-af09-4d17-a159-f75b55fd6699">
      <Url>https://westyorkshirefire.sharepoint.com/sites/Directors-ChiefFinanceandProcurementOfficer1/_layouts/15/DocIdRedir.aspx?ID=PU4DMHKPWREY-290155665-10758</Url>
      <Description>PU4DMHKPWREY-290155665-10758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05C4B5-E2EC-4D28-9318-5EE0DC20F7BF}"/>
</file>

<file path=customXml/itemProps2.xml><?xml version="1.0" encoding="utf-8"?>
<ds:datastoreItem xmlns:ds="http://schemas.openxmlformats.org/officeDocument/2006/customXml" ds:itemID="{6B70F9B4-DBA1-4FB8-89B9-AF7BC906F65D}">
  <ds:schemaRef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purl.org/dc/dcmitype/"/>
    <ds:schemaRef ds:uri="3af2311f-7d02-414a-9fae-594dec597e63"/>
    <ds:schemaRef ds:uri="http://schemas.microsoft.com/office/infopath/2007/PartnerControls"/>
    <ds:schemaRef ds:uri="http://schemas.openxmlformats.org/package/2006/metadata/core-properties"/>
    <ds:schemaRef ds:uri="e53cdf97-e5dd-43d5-8614-f86928402737"/>
  </ds:schemaRefs>
</ds:datastoreItem>
</file>

<file path=customXml/itemProps3.xml><?xml version="1.0" encoding="utf-8"?>
<ds:datastoreItem xmlns:ds="http://schemas.openxmlformats.org/officeDocument/2006/customXml" ds:itemID="{AF623470-7B61-4943-92D3-A33DB760EF0D}">
  <ds:schemaRefs>
    <ds:schemaRef ds:uri="http://schemas.microsoft.com/sharepoint/v3/contenttype/forms"/>
  </ds:schemaRefs>
</ds:datastoreItem>
</file>

<file path=customXml/itemProps4.xml><?xml version="1.0" encoding="utf-8"?>
<ds:datastoreItem xmlns:ds="http://schemas.openxmlformats.org/officeDocument/2006/customXml" ds:itemID="{16ECA9BA-505A-4656-89F9-FF872EBB22E6}"/>
</file>

<file path=docProps/app.xml><?xml version="1.0" encoding="utf-8"?>
<Properties xmlns="http://schemas.openxmlformats.org/officeDocument/2006/extended-properties" xmlns:vt="http://schemas.openxmlformats.org/officeDocument/2006/docPropsVTypes">
  <Template>Normal.dotm</Template>
  <TotalTime>29</TotalTime>
  <Pages>22</Pages>
  <Words>6687</Words>
  <Characters>38121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WYFRS</Company>
  <LinksUpToDate>false</LinksUpToDate>
  <CharactersWithSpaces>44719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Wood</dc:creator>
  <cp:keywords/>
  <dc:description/>
  <cp:lastModifiedBy>Alison Wood</cp:lastModifiedBy>
  <cp:revision>10</cp:revision>
  <cp:lastPrinted>2023-08-10T13:10:00Z</cp:lastPrinted>
  <dcterms:created xsi:type="dcterms:W3CDTF">2023-08-10T13:13:00Z</dcterms:created>
  <dcterms:modified xsi:type="dcterms:W3CDTF">2023-08-11T07:39:00Z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0x010100ECBD632E64AFCB4A9C942C965D89CB2A</vt:lpwstr>
  </property>
  <property fmtid="{D5CDD505-2E9C-101B-9397-08002B2CF9AE}" pid="3" name="CFPO">
    <vt:lpwstr/>
  </property>
  <property fmtid="{D5CDD505-2E9C-101B-9397-08002B2CF9AE}" pid="6" name="WYFRSRecipient">
    <vt:lpwstr/>
  </property>
  <property fmtid="{D5CDD505-2E9C-101B-9397-08002B2CF9AE}" pid="7" name="WYFRSLocation">
    <vt:lpwstr/>
  </property>
  <property fmtid="{D5CDD505-2E9C-101B-9397-08002B2CF9AE}" pid="8" name="WYFRSSalutation">
    <vt:lpwstr/>
  </property>
  <property fmtid="{D5CDD505-2E9C-101B-9397-08002B2CF9AE}" pid="9" name="WYFRSTime">
    <vt:lpwstr/>
  </property>
  <property fmtid="{D5CDD505-2E9C-101B-9397-08002B2CF9AE}" pid="10" name="WYFRSDepartment">
    <vt:lpwstr/>
  </property>
  <property fmtid="{D5CDD505-2E9C-101B-9397-08002B2CF9AE}" pid="11" name="WYFRSJobTitle">
    <vt:lpwstr/>
  </property>
  <property fmtid="{D5CDD505-2E9C-101B-9397-08002B2CF9AE}" pid="12" name="Information Category">
    <vt:lpwstr/>
  </property>
  <property fmtid="{D5CDD505-2E9C-101B-9397-08002B2CF9AE}" pid="13" name="WYFRSFileStatus">
    <vt:lpwstr/>
  </property>
  <property fmtid="{D5CDD505-2E9C-101B-9397-08002B2CF9AE}" pid="14" name="WYFRSVersion">
    <vt:lpwstr/>
  </property>
  <property fmtid="{D5CDD505-2E9C-101B-9397-08002B2CF9AE}" pid="15" name="WYFRSEmail">
    <vt:lpwstr/>
  </property>
  <property fmtid="{D5CDD505-2E9C-101B-9397-08002B2CF9AE}" pid="16" name="WYFRSAddressee">
    <vt:lpwstr/>
  </property>
  <property fmtid="{D5CDD505-2E9C-101B-9397-08002B2CF9AE}" pid="17" name="WYFRSReportSubTitle">
    <vt:lpwstr/>
  </property>
  <property fmtid="{D5CDD505-2E9C-101B-9397-08002B2CF9AE}" pid="18" name="WYFRSMobile">
    <vt:lpwstr/>
  </property>
  <property fmtid="{D5CDD505-2E9C-101B-9397-08002B2CF9AE}" pid="19" name="WYFRSYourRef">
    <vt:lpwstr/>
  </property>
  <property fmtid="{D5CDD505-2E9C-101B-9397-08002B2CF9AE}" pid="20" name="WYFRSVenue">
    <vt:lpwstr/>
  </property>
  <property fmtid="{D5CDD505-2E9C-101B-9397-08002B2CF9AE}" pid="22" name="WYFRSFrom">
    <vt:lpwstr/>
  </property>
  <property fmtid="{D5CDD505-2E9C-101B-9397-08002B2CF9AE}" pid="23" name="WYFRSTo">
    <vt:lpwstr/>
  </property>
  <property fmtid="{D5CDD505-2E9C-101B-9397-08002B2CF9AE}" pid="24" name="WYFRSRef">
    <vt:lpwstr/>
  </property>
  <property fmtid="{D5CDD505-2E9C-101B-9397-08002B2CF9AE}" pid="25" name="WYFRSFileID">
    <vt:lpwstr/>
  </property>
  <property fmtid="{D5CDD505-2E9C-101B-9397-08002B2CF9AE}" pid="26" name="Publish to Library">
    <vt:lpwstr/>
  </property>
  <property fmtid="{D5CDD505-2E9C-101B-9397-08002B2CF9AE}" pid="27" name="URL">
    <vt:lpwstr/>
  </property>
  <property fmtid="{D5CDD505-2E9C-101B-9397-08002B2CF9AE}" pid="28" name="WYFRSOwnership">
    <vt:lpwstr/>
  </property>
  <property fmtid="{D5CDD505-2E9C-101B-9397-08002B2CF9AE}" pid="31" name="WYFRSItemNumber">
    <vt:lpwstr/>
  </property>
  <property fmtid="{D5CDD505-2E9C-101B-9397-08002B2CF9AE}" pid="32" name="WYFRSSubmittedBy">
    <vt:lpwstr/>
  </property>
  <property fmtid="{D5CDD505-2E9C-101B-9397-08002B2CF9AE}" pid="33" name="WYFRSCommitteeName">
    <vt:lpwstr/>
  </property>
  <property fmtid="{D5CDD505-2E9C-101B-9397-08002B2CF9AE}" pid="35" name="WYFRSProtectiveMarkings">
    <vt:lpwstr/>
  </property>
  <property fmtid="{D5CDD505-2E9C-101B-9397-08002B2CF9AE}" pid="38" name="_dlc_DocIdItemGuid">
    <vt:lpwstr>496c7747-7d87-49c2-90df-07c157a0588f</vt:lpwstr>
  </property>
</Properties>
</file>